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2FA91" w14:textId="408ED9B8" w:rsidR="00C36F9A" w:rsidRPr="00B41CC5" w:rsidRDefault="00B41CC5" w:rsidP="00B41CC5">
      <w:pPr>
        <w:pStyle w:val="TITULOARTIGO"/>
        <w:rPr>
          <w:vertAlign w:val="superscript"/>
        </w:rPr>
      </w:pPr>
      <w:bookmarkStart w:id="0" w:name="_Hlk230849156"/>
      <w:bookmarkStart w:id="1" w:name="_Hlk151369550"/>
      <w:r w:rsidRPr="00B41CC5">
        <w:t>UMA CRÍTICA DA VIVÊNCIA E DA EMPATIA. BENJAMIN, BRECHT E DILTHEY</w:t>
      </w:r>
      <w:r>
        <w:rPr>
          <w:vertAlign w:val="superscript"/>
        </w:rPr>
        <w:t>*</w:t>
      </w:r>
    </w:p>
    <w:p w14:paraId="3EF83B6A" w14:textId="77777777" w:rsidR="00B41CC5" w:rsidRPr="00DE2E86" w:rsidRDefault="00B41CC5" w:rsidP="00B41CC5">
      <w:pPr>
        <w:pStyle w:val="CorpoA"/>
        <w:spacing w:line="240" w:lineRule="auto"/>
        <w:jc w:val="right"/>
        <w:rPr>
          <w:bCs/>
          <w:lang w:val="pt-PT"/>
        </w:rPr>
      </w:pPr>
    </w:p>
    <w:p w14:paraId="540C1684" w14:textId="5C5AE810" w:rsidR="00B41CC5" w:rsidRPr="00B41CC5" w:rsidRDefault="00DE2E86" w:rsidP="00B41CC5">
      <w:pPr>
        <w:pStyle w:val="CorpoA"/>
        <w:jc w:val="right"/>
        <w:rPr>
          <w:szCs w:val="28"/>
          <w:lang w:val="pt-PT"/>
        </w:rPr>
      </w:pPr>
      <w:r w:rsidRPr="00DE2E86">
        <w:rPr>
          <w:szCs w:val="28"/>
          <w:lang w:val="pt-PT"/>
        </w:rPr>
        <w:t>Romero Alves Freitas</w:t>
      </w:r>
      <w:r w:rsidR="00B41CC5" w:rsidRPr="00067278">
        <w:rPr>
          <w:szCs w:val="28"/>
          <w:vertAlign w:val="superscript"/>
          <w:lang w:val="pt-PT"/>
        </w:rPr>
        <w:t>**</w:t>
      </w:r>
    </w:p>
    <w:p w14:paraId="6EC8AAF4" w14:textId="77777777" w:rsidR="00B41CC5" w:rsidRDefault="00B41CC5" w:rsidP="00B41CC5">
      <w:pPr>
        <w:pStyle w:val="CorpoA"/>
        <w:spacing w:line="240" w:lineRule="auto"/>
        <w:rPr>
          <w:lang w:val="pt-PT"/>
        </w:rPr>
      </w:pPr>
    </w:p>
    <w:p w14:paraId="214285B4" w14:textId="6E8FC24E" w:rsidR="00061A0F" w:rsidRDefault="00061A0F" w:rsidP="00B41CC5">
      <w:pPr>
        <w:spacing w:line="240" w:lineRule="auto"/>
        <w:ind w:firstLine="0"/>
        <w:contextualSpacing/>
        <w:mirrorIndents/>
        <w:rPr>
          <w:rFonts w:eastAsia="Times New Roman" w:cs="Times New Roman"/>
          <w:szCs w:val="24"/>
          <w:lang w:eastAsia="pt-BR"/>
        </w:rPr>
      </w:pPr>
      <w:bookmarkStart w:id="2" w:name="_Hlk230330295"/>
      <w:r w:rsidRPr="009C258B">
        <w:rPr>
          <w:rFonts w:eastAsia="Times New Roman" w:cs="Times New Roman"/>
          <w:b/>
          <w:bCs/>
          <w:szCs w:val="24"/>
          <w:lang w:eastAsia="pt-BR"/>
        </w:rPr>
        <w:t>Resumo</w:t>
      </w:r>
      <w:r w:rsidRPr="009C258B">
        <w:rPr>
          <w:rFonts w:eastAsia="Times New Roman" w:cs="Times New Roman"/>
          <w:szCs w:val="24"/>
          <w:lang w:eastAsia="pt-BR"/>
        </w:rPr>
        <w:t xml:space="preserve">: O foco do presente trabalho é a noção de </w:t>
      </w:r>
      <w:r w:rsidR="005901BE" w:rsidRPr="009C258B">
        <w:rPr>
          <w:rFonts w:eastAsia="Times New Roman" w:cs="Times New Roman"/>
          <w:szCs w:val="24"/>
          <w:lang w:eastAsia="pt-BR"/>
        </w:rPr>
        <w:t>“</w:t>
      </w:r>
      <w:r w:rsidRPr="009C258B">
        <w:rPr>
          <w:rFonts w:eastAsia="Times New Roman" w:cs="Times New Roman"/>
          <w:szCs w:val="24"/>
          <w:lang w:eastAsia="pt-BR"/>
        </w:rPr>
        <w:t>empatia</w:t>
      </w:r>
      <w:r w:rsidR="005901BE" w:rsidRPr="009C258B">
        <w:rPr>
          <w:rFonts w:eastAsia="Times New Roman" w:cs="Times New Roman"/>
          <w:szCs w:val="24"/>
          <w:lang w:eastAsia="pt-BR"/>
        </w:rPr>
        <w:t>”</w:t>
      </w:r>
      <w:r w:rsidRPr="009C258B">
        <w:rPr>
          <w:rFonts w:eastAsia="Times New Roman" w:cs="Times New Roman"/>
          <w:szCs w:val="24"/>
          <w:lang w:eastAsia="pt-BR"/>
        </w:rPr>
        <w:t xml:space="preserve"> (</w:t>
      </w:r>
      <w:proofErr w:type="spellStart"/>
      <w:r w:rsidRPr="009C258B">
        <w:rPr>
          <w:rFonts w:eastAsia="Times New Roman" w:cs="Times New Roman"/>
          <w:i/>
          <w:iCs/>
          <w:szCs w:val="24"/>
          <w:lang w:eastAsia="pt-BR"/>
        </w:rPr>
        <w:t>Einfühlung</w:t>
      </w:r>
      <w:proofErr w:type="spellEnd"/>
      <w:r w:rsidRPr="009C258B">
        <w:rPr>
          <w:rFonts w:eastAsia="Times New Roman" w:cs="Times New Roman"/>
          <w:szCs w:val="24"/>
          <w:lang w:eastAsia="pt-BR"/>
        </w:rPr>
        <w:t>) em</w:t>
      </w:r>
      <w:r w:rsidR="00FC28B0" w:rsidRPr="009C258B">
        <w:rPr>
          <w:rFonts w:eastAsia="Times New Roman" w:cs="Times New Roman"/>
          <w:szCs w:val="24"/>
          <w:lang w:eastAsia="pt-BR"/>
        </w:rPr>
        <w:t xml:space="preserve"> </w:t>
      </w:r>
      <w:r w:rsidRPr="009C258B">
        <w:rPr>
          <w:rFonts w:eastAsia="Times New Roman" w:cs="Times New Roman"/>
          <w:szCs w:val="24"/>
          <w:lang w:eastAsia="pt-BR"/>
        </w:rPr>
        <w:t xml:space="preserve">Brecht e Benjamin, que será </w:t>
      </w:r>
      <w:r w:rsidR="005901BE" w:rsidRPr="009C258B">
        <w:rPr>
          <w:rFonts w:eastAsia="Times New Roman" w:cs="Times New Roman"/>
          <w:szCs w:val="24"/>
          <w:lang w:eastAsia="pt-BR"/>
        </w:rPr>
        <w:t>associada</w:t>
      </w:r>
      <w:r w:rsidRPr="009C258B">
        <w:rPr>
          <w:rFonts w:eastAsia="Times New Roman" w:cs="Times New Roman"/>
          <w:szCs w:val="24"/>
          <w:lang w:eastAsia="pt-BR"/>
        </w:rPr>
        <w:t xml:space="preserve"> à</w:t>
      </w:r>
      <w:r w:rsidR="005901BE" w:rsidRPr="009C258B">
        <w:rPr>
          <w:rFonts w:eastAsia="Times New Roman" w:cs="Times New Roman"/>
          <w:szCs w:val="24"/>
          <w:lang w:eastAsia="pt-BR"/>
        </w:rPr>
        <w:t>s noções “vivência” (</w:t>
      </w:r>
      <w:proofErr w:type="spellStart"/>
      <w:r w:rsidR="005901BE" w:rsidRPr="009C258B">
        <w:rPr>
          <w:rFonts w:eastAsia="Times New Roman" w:cs="Times New Roman"/>
          <w:i/>
          <w:iCs/>
          <w:szCs w:val="24"/>
          <w:lang w:eastAsia="pt-BR"/>
        </w:rPr>
        <w:t>Erlebnis</w:t>
      </w:r>
      <w:proofErr w:type="spellEnd"/>
      <w:r w:rsidR="005901BE" w:rsidRPr="009C258B">
        <w:rPr>
          <w:rFonts w:eastAsia="Times New Roman" w:cs="Times New Roman"/>
          <w:szCs w:val="24"/>
          <w:lang w:eastAsia="pt-BR"/>
        </w:rPr>
        <w:t>) e</w:t>
      </w:r>
      <w:r w:rsidRPr="009C258B">
        <w:rPr>
          <w:rFonts w:eastAsia="Times New Roman" w:cs="Times New Roman"/>
          <w:szCs w:val="24"/>
          <w:lang w:eastAsia="pt-BR"/>
        </w:rPr>
        <w:t xml:space="preserve"> “</w:t>
      </w:r>
      <w:proofErr w:type="spellStart"/>
      <w:r w:rsidRPr="009C258B">
        <w:rPr>
          <w:rFonts w:eastAsia="Times New Roman" w:cs="Times New Roman"/>
          <w:szCs w:val="24"/>
          <w:lang w:eastAsia="pt-BR"/>
        </w:rPr>
        <w:t>reviv</w:t>
      </w:r>
      <w:r w:rsidR="005901BE" w:rsidRPr="009C258B">
        <w:rPr>
          <w:rFonts w:eastAsia="Times New Roman" w:cs="Times New Roman"/>
          <w:szCs w:val="24"/>
          <w:lang w:eastAsia="pt-BR"/>
        </w:rPr>
        <w:t>enciar</w:t>
      </w:r>
      <w:proofErr w:type="spellEnd"/>
      <w:r w:rsidRPr="009C258B">
        <w:rPr>
          <w:rFonts w:eastAsia="Times New Roman" w:cs="Times New Roman"/>
          <w:szCs w:val="24"/>
          <w:lang w:eastAsia="pt-BR"/>
        </w:rPr>
        <w:t>” (</w:t>
      </w:r>
      <w:proofErr w:type="spellStart"/>
      <w:r w:rsidR="005901BE" w:rsidRPr="009C258B">
        <w:rPr>
          <w:rFonts w:eastAsia="Times New Roman" w:cs="Times New Roman"/>
          <w:i/>
          <w:iCs/>
          <w:szCs w:val="24"/>
          <w:lang w:eastAsia="pt-BR"/>
        </w:rPr>
        <w:t>n</w:t>
      </w:r>
      <w:r w:rsidR="00363890" w:rsidRPr="009C258B">
        <w:rPr>
          <w:rFonts w:eastAsia="Times New Roman" w:cs="Times New Roman"/>
          <w:i/>
          <w:iCs/>
          <w:szCs w:val="24"/>
          <w:lang w:eastAsia="pt-BR"/>
        </w:rPr>
        <w:t>acherleben</w:t>
      </w:r>
      <w:proofErr w:type="spellEnd"/>
      <w:r w:rsidRPr="009C258B">
        <w:rPr>
          <w:rFonts w:eastAsia="Times New Roman" w:cs="Times New Roman"/>
          <w:szCs w:val="24"/>
          <w:lang w:eastAsia="pt-BR"/>
        </w:rPr>
        <w:t xml:space="preserve">) </w:t>
      </w:r>
      <w:r w:rsidR="005901BE" w:rsidRPr="009C258B">
        <w:rPr>
          <w:rFonts w:eastAsia="Times New Roman" w:cs="Times New Roman"/>
          <w:szCs w:val="24"/>
          <w:lang w:eastAsia="pt-BR"/>
        </w:rPr>
        <w:t>em</w:t>
      </w:r>
      <w:r w:rsidRPr="009C258B">
        <w:rPr>
          <w:rFonts w:eastAsia="Times New Roman" w:cs="Times New Roman"/>
          <w:szCs w:val="24"/>
          <w:lang w:eastAsia="pt-BR"/>
        </w:rPr>
        <w:t xml:space="preserve"> </w:t>
      </w:r>
      <w:proofErr w:type="spellStart"/>
      <w:r w:rsidRPr="009C258B">
        <w:rPr>
          <w:rFonts w:eastAsia="Times New Roman" w:cs="Times New Roman"/>
          <w:szCs w:val="24"/>
          <w:lang w:eastAsia="pt-BR"/>
        </w:rPr>
        <w:t>Dilthey</w:t>
      </w:r>
      <w:proofErr w:type="spellEnd"/>
      <w:r w:rsidRPr="009C258B">
        <w:rPr>
          <w:rFonts w:eastAsia="Times New Roman" w:cs="Times New Roman"/>
          <w:szCs w:val="24"/>
          <w:lang w:eastAsia="pt-BR"/>
        </w:rPr>
        <w:t xml:space="preserve">. </w:t>
      </w:r>
      <w:r w:rsidR="005901BE" w:rsidRPr="009C258B">
        <w:rPr>
          <w:rFonts w:eastAsia="Times New Roman" w:cs="Times New Roman"/>
          <w:szCs w:val="24"/>
          <w:lang w:eastAsia="pt-BR"/>
        </w:rPr>
        <w:t>Após uma breve menção ao estatuto da empatia nos primeiros trabalhos de Benjamin</w:t>
      </w:r>
      <w:r w:rsidR="00B93166" w:rsidRPr="009C258B">
        <w:rPr>
          <w:rFonts w:eastAsia="Times New Roman" w:cs="Times New Roman"/>
          <w:szCs w:val="24"/>
          <w:lang w:eastAsia="pt-BR"/>
        </w:rPr>
        <w:t xml:space="preserve"> (anos 1920)</w:t>
      </w:r>
      <w:r w:rsidR="005901BE" w:rsidRPr="009C258B">
        <w:rPr>
          <w:rFonts w:eastAsia="Times New Roman" w:cs="Times New Roman"/>
          <w:szCs w:val="24"/>
          <w:lang w:eastAsia="pt-BR"/>
        </w:rPr>
        <w:t>, t</w:t>
      </w:r>
      <w:r w:rsidRPr="009C258B">
        <w:rPr>
          <w:rFonts w:eastAsia="Times New Roman" w:cs="Times New Roman"/>
          <w:szCs w:val="24"/>
          <w:lang w:eastAsia="pt-BR"/>
        </w:rPr>
        <w:t xml:space="preserve">rataremos </w:t>
      </w:r>
      <w:r w:rsidR="000C0F6C" w:rsidRPr="009C258B">
        <w:rPr>
          <w:rFonts w:eastAsia="Times New Roman" w:cs="Times New Roman"/>
          <w:szCs w:val="24"/>
          <w:lang w:eastAsia="pt-BR"/>
        </w:rPr>
        <w:t xml:space="preserve">de duas tarefas críticas: 1) </w:t>
      </w:r>
      <w:r w:rsidRPr="009C258B">
        <w:rPr>
          <w:rFonts w:eastAsia="Times New Roman" w:cs="Times New Roman"/>
          <w:szCs w:val="24"/>
          <w:lang w:eastAsia="pt-BR"/>
        </w:rPr>
        <w:t xml:space="preserve">a criação de uma crítica </w:t>
      </w:r>
      <w:r w:rsidR="00B93166" w:rsidRPr="009C258B">
        <w:rPr>
          <w:rFonts w:eastAsia="Times New Roman" w:cs="Times New Roman"/>
          <w:szCs w:val="24"/>
          <w:lang w:eastAsia="pt-BR"/>
        </w:rPr>
        <w:t>estético-</w:t>
      </w:r>
      <w:r w:rsidRPr="009C258B">
        <w:rPr>
          <w:rFonts w:eastAsia="Times New Roman" w:cs="Times New Roman"/>
          <w:szCs w:val="24"/>
          <w:lang w:eastAsia="pt-BR"/>
        </w:rPr>
        <w:t>política da empati</w:t>
      </w:r>
      <w:r w:rsidR="00B93166" w:rsidRPr="009C258B">
        <w:rPr>
          <w:rFonts w:eastAsia="Times New Roman" w:cs="Times New Roman"/>
          <w:szCs w:val="24"/>
          <w:lang w:eastAsia="pt-BR"/>
        </w:rPr>
        <w:t>a</w:t>
      </w:r>
      <w:r w:rsidR="000C0F6C" w:rsidRPr="009C258B">
        <w:rPr>
          <w:rFonts w:eastAsia="Times New Roman" w:cs="Times New Roman"/>
          <w:szCs w:val="24"/>
          <w:lang w:eastAsia="pt-BR"/>
        </w:rPr>
        <w:t xml:space="preserve"> em Brecht e nos</w:t>
      </w:r>
      <w:r w:rsidR="00B93166" w:rsidRPr="009C258B">
        <w:rPr>
          <w:rFonts w:eastAsia="Times New Roman" w:cs="Times New Roman"/>
          <w:szCs w:val="24"/>
          <w:lang w:eastAsia="pt-BR"/>
        </w:rPr>
        <w:t xml:space="preserve"> ensaios</w:t>
      </w:r>
      <w:r w:rsidR="000C0F6C" w:rsidRPr="009C258B">
        <w:rPr>
          <w:rFonts w:eastAsia="Times New Roman" w:cs="Times New Roman"/>
          <w:szCs w:val="24"/>
          <w:lang w:eastAsia="pt-BR"/>
        </w:rPr>
        <w:t xml:space="preserve"> de Benjamin</w:t>
      </w:r>
      <w:r w:rsidR="00B93166" w:rsidRPr="009C258B">
        <w:rPr>
          <w:rFonts w:eastAsia="Times New Roman" w:cs="Times New Roman"/>
          <w:szCs w:val="24"/>
          <w:lang w:eastAsia="pt-BR"/>
        </w:rPr>
        <w:t xml:space="preserve"> sobre</w:t>
      </w:r>
      <w:r w:rsidRPr="009C258B">
        <w:rPr>
          <w:rFonts w:eastAsia="Times New Roman" w:cs="Times New Roman"/>
          <w:szCs w:val="24"/>
          <w:lang w:eastAsia="pt-BR"/>
        </w:rPr>
        <w:t xml:space="preserve"> Brecht</w:t>
      </w:r>
      <w:r w:rsidR="000C0F6C" w:rsidRPr="009C258B">
        <w:rPr>
          <w:rFonts w:eastAsia="Times New Roman" w:cs="Times New Roman"/>
          <w:szCs w:val="24"/>
          <w:lang w:eastAsia="pt-BR"/>
        </w:rPr>
        <w:t xml:space="preserve"> (</w:t>
      </w:r>
      <w:r w:rsidRPr="009C258B">
        <w:rPr>
          <w:rFonts w:eastAsia="Times New Roman" w:cs="Times New Roman"/>
          <w:szCs w:val="24"/>
          <w:lang w:eastAsia="pt-BR"/>
        </w:rPr>
        <w:t xml:space="preserve">escritos nos anos </w:t>
      </w:r>
      <w:r w:rsidR="005901BE" w:rsidRPr="009C258B">
        <w:rPr>
          <w:rFonts w:eastAsia="Times New Roman" w:cs="Times New Roman"/>
          <w:szCs w:val="24"/>
          <w:lang w:eastAsia="pt-BR"/>
        </w:rPr>
        <w:t>1930</w:t>
      </w:r>
      <w:r w:rsidR="000C0F6C" w:rsidRPr="009C258B">
        <w:rPr>
          <w:rFonts w:eastAsia="Times New Roman" w:cs="Times New Roman"/>
          <w:szCs w:val="24"/>
          <w:lang w:eastAsia="pt-BR"/>
        </w:rPr>
        <w:t xml:space="preserve">); 2) </w:t>
      </w:r>
      <w:r w:rsidR="00B93166" w:rsidRPr="009C258B">
        <w:rPr>
          <w:rFonts w:eastAsia="Times New Roman" w:cs="Times New Roman"/>
          <w:szCs w:val="24"/>
          <w:lang w:eastAsia="pt-BR"/>
        </w:rPr>
        <w:t>a transformação dessa crítica</w:t>
      </w:r>
      <w:r w:rsidR="000C0F6C" w:rsidRPr="009C258B">
        <w:rPr>
          <w:rFonts w:eastAsia="Times New Roman" w:cs="Times New Roman"/>
          <w:szCs w:val="24"/>
          <w:lang w:eastAsia="pt-BR"/>
        </w:rPr>
        <w:t xml:space="preserve"> estético-política</w:t>
      </w:r>
      <w:r w:rsidR="00B93166" w:rsidRPr="009C258B">
        <w:rPr>
          <w:rFonts w:eastAsia="Times New Roman" w:cs="Times New Roman"/>
          <w:szCs w:val="24"/>
          <w:lang w:eastAsia="pt-BR"/>
        </w:rPr>
        <w:t xml:space="preserve"> numa </w:t>
      </w:r>
      <w:r w:rsidR="000C0F6C" w:rsidRPr="009C258B">
        <w:rPr>
          <w:rFonts w:eastAsia="Times New Roman" w:cs="Times New Roman"/>
          <w:szCs w:val="24"/>
          <w:lang w:eastAsia="pt-BR"/>
        </w:rPr>
        <w:t>crítica</w:t>
      </w:r>
      <w:r w:rsidR="00B93166" w:rsidRPr="009C258B">
        <w:rPr>
          <w:rFonts w:eastAsia="Times New Roman" w:cs="Times New Roman"/>
          <w:szCs w:val="24"/>
          <w:lang w:eastAsia="pt-BR"/>
        </w:rPr>
        <w:t xml:space="preserve"> epistemológico-política </w:t>
      </w:r>
      <w:r w:rsidR="000C0F6C" w:rsidRPr="009C258B">
        <w:rPr>
          <w:rFonts w:eastAsia="Times New Roman" w:cs="Times New Roman"/>
          <w:szCs w:val="24"/>
          <w:lang w:eastAsia="pt-BR"/>
        </w:rPr>
        <w:t>na Tese VII</w:t>
      </w:r>
      <w:r w:rsidRPr="009C258B">
        <w:rPr>
          <w:rFonts w:eastAsia="Times New Roman" w:cs="Times New Roman"/>
          <w:szCs w:val="24"/>
          <w:lang w:eastAsia="pt-BR"/>
        </w:rPr>
        <w:t xml:space="preserve"> d</w:t>
      </w:r>
      <w:r w:rsidR="002F0762" w:rsidRPr="009C258B">
        <w:rPr>
          <w:rFonts w:eastAsia="Times New Roman" w:cs="Times New Roman"/>
          <w:szCs w:val="24"/>
          <w:lang w:eastAsia="pt-BR"/>
        </w:rPr>
        <w:t>e</w:t>
      </w:r>
      <w:r w:rsidRPr="009C258B">
        <w:rPr>
          <w:rFonts w:eastAsia="Times New Roman" w:cs="Times New Roman"/>
          <w:szCs w:val="24"/>
          <w:lang w:eastAsia="pt-BR"/>
        </w:rPr>
        <w:t xml:space="preserve"> </w:t>
      </w:r>
      <w:r w:rsidRPr="009C258B">
        <w:rPr>
          <w:rFonts w:eastAsia="Times New Roman" w:cs="Times New Roman"/>
          <w:i/>
          <w:iCs/>
          <w:szCs w:val="24"/>
          <w:lang w:eastAsia="pt-BR"/>
        </w:rPr>
        <w:t>Sobre o conceito d</w:t>
      </w:r>
      <w:r w:rsidR="00AB13F9" w:rsidRPr="009C258B">
        <w:rPr>
          <w:rFonts w:eastAsia="Times New Roman" w:cs="Times New Roman"/>
          <w:i/>
          <w:iCs/>
          <w:szCs w:val="24"/>
          <w:lang w:eastAsia="pt-BR"/>
        </w:rPr>
        <w:t>e</w:t>
      </w:r>
      <w:r w:rsidRPr="009C258B">
        <w:rPr>
          <w:rFonts w:eastAsia="Times New Roman" w:cs="Times New Roman"/>
          <w:i/>
          <w:iCs/>
          <w:szCs w:val="24"/>
          <w:lang w:eastAsia="pt-BR"/>
        </w:rPr>
        <w:t xml:space="preserve"> história</w:t>
      </w:r>
      <w:r w:rsidRPr="009C258B">
        <w:rPr>
          <w:rFonts w:eastAsia="Times New Roman" w:cs="Times New Roman"/>
          <w:szCs w:val="24"/>
          <w:lang w:eastAsia="pt-BR"/>
        </w:rPr>
        <w:t xml:space="preserve"> (1940). Procuraremos, </w:t>
      </w:r>
      <w:r w:rsidR="00B93166" w:rsidRPr="009C258B">
        <w:rPr>
          <w:rFonts w:eastAsia="Times New Roman" w:cs="Times New Roman"/>
          <w:szCs w:val="24"/>
          <w:lang w:eastAsia="pt-BR"/>
        </w:rPr>
        <w:t>ao mesmo tempo,</w:t>
      </w:r>
      <w:r w:rsidRPr="009C258B">
        <w:rPr>
          <w:rFonts w:eastAsia="Times New Roman" w:cs="Times New Roman"/>
          <w:szCs w:val="24"/>
          <w:lang w:eastAsia="pt-BR"/>
        </w:rPr>
        <w:t xml:space="preserve"> fazer um mapeamento das menções de Benjamin a </w:t>
      </w:r>
      <w:proofErr w:type="spellStart"/>
      <w:r w:rsidRPr="009C258B">
        <w:rPr>
          <w:rFonts w:eastAsia="Times New Roman" w:cs="Times New Roman"/>
          <w:szCs w:val="24"/>
          <w:lang w:eastAsia="pt-BR"/>
        </w:rPr>
        <w:t>Dilthey</w:t>
      </w:r>
      <w:proofErr w:type="spellEnd"/>
      <w:r w:rsidRPr="009C258B">
        <w:rPr>
          <w:rFonts w:eastAsia="Times New Roman" w:cs="Times New Roman"/>
          <w:szCs w:val="24"/>
          <w:lang w:eastAsia="pt-BR"/>
        </w:rPr>
        <w:t>, nessa fase</w:t>
      </w:r>
      <w:r w:rsidR="00B93166" w:rsidRPr="009C258B">
        <w:rPr>
          <w:rFonts w:eastAsia="Times New Roman" w:cs="Times New Roman"/>
          <w:szCs w:val="24"/>
          <w:lang w:eastAsia="pt-BR"/>
        </w:rPr>
        <w:t xml:space="preserve"> do seu pensamento</w:t>
      </w:r>
      <w:r w:rsidRPr="009C258B">
        <w:rPr>
          <w:rFonts w:eastAsia="Times New Roman" w:cs="Times New Roman"/>
          <w:szCs w:val="24"/>
          <w:lang w:eastAsia="pt-BR"/>
        </w:rPr>
        <w:t xml:space="preserve">, mostrando que </w:t>
      </w:r>
      <w:proofErr w:type="spellStart"/>
      <w:r w:rsidR="00B93166" w:rsidRPr="009C258B">
        <w:rPr>
          <w:rFonts w:eastAsia="Times New Roman" w:cs="Times New Roman"/>
          <w:szCs w:val="24"/>
          <w:lang w:eastAsia="pt-BR"/>
        </w:rPr>
        <w:t>Dilthey</w:t>
      </w:r>
      <w:proofErr w:type="spellEnd"/>
      <w:r w:rsidRPr="009C258B">
        <w:rPr>
          <w:rFonts w:eastAsia="Times New Roman" w:cs="Times New Roman"/>
          <w:szCs w:val="24"/>
          <w:lang w:eastAsia="pt-BR"/>
        </w:rPr>
        <w:t xml:space="preserve"> pode ser visto como um dos alvos </w:t>
      </w:r>
      <w:r w:rsidR="00B93166" w:rsidRPr="009C258B">
        <w:rPr>
          <w:rFonts w:eastAsia="Times New Roman" w:cs="Times New Roman"/>
          <w:szCs w:val="24"/>
          <w:lang w:eastAsia="pt-BR"/>
        </w:rPr>
        <w:t>principais d</w:t>
      </w:r>
      <w:r w:rsidRPr="009C258B">
        <w:rPr>
          <w:rFonts w:eastAsia="Times New Roman" w:cs="Times New Roman"/>
          <w:szCs w:val="24"/>
          <w:lang w:eastAsia="pt-BR"/>
        </w:rPr>
        <w:t xml:space="preserve">a crítica </w:t>
      </w:r>
      <w:r w:rsidR="00B93166" w:rsidRPr="009C258B">
        <w:rPr>
          <w:rFonts w:eastAsia="Times New Roman" w:cs="Times New Roman"/>
          <w:szCs w:val="24"/>
          <w:lang w:eastAsia="pt-BR"/>
        </w:rPr>
        <w:t>epistemológico-</w:t>
      </w:r>
      <w:r w:rsidRPr="009C258B">
        <w:rPr>
          <w:rFonts w:eastAsia="Times New Roman" w:cs="Times New Roman"/>
          <w:szCs w:val="24"/>
          <w:lang w:eastAsia="pt-BR"/>
        </w:rPr>
        <w:t>política da empatia</w:t>
      </w:r>
      <w:r w:rsidR="00B93166" w:rsidRPr="009C258B">
        <w:rPr>
          <w:rFonts w:eastAsia="Times New Roman" w:cs="Times New Roman"/>
          <w:szCs w:val="24"/>
          <w:lang w:eastAsia="pt-BR"/>
        </w:rPr>
        <w:t>.</w:t>
      </w:r>
      <w:r w:rsidRPr="009C258B">
        <w:rPr>
          <w:rFonts w:eastAsia="Times New Roman" w:cs="Times New Roman"/>
          <w:szCs w:val="24"/>
          <w:lang w:eastAsia="pt-BR"/>
        </w:rPr>
        <w:t xml:space="preserve"> </w:t>
      </w:r>
      <w:r w:rsidR="00B93166" w:rsidRPr="009C258B">
        <w:rPr>
          <w:rFonts w:eastAsia="Times New Roman" w:cs="Times New Roman"/>
          <w:szCs w:val="24"/>
          <w:lang w:eastAsia="pt-BR"/>
        </w:rPr>
        <w:t>Como a presença de</w:t>
      </w:r>
      <w:r w:rsidRPr="009C258B">
        <w:rPr>
          <w:rFonts w:eastAsia="Times New Roman" w:cs="Times New Roman"/>
          <w:szCs w:val="24"/>
          <w:lang w:eastAsia="pt-BR"/>
        </w:rPr>
        <w:t xml:space="preserve"> </w:t>
      </w:r>
      <w:proofErr w:type="spellStart"/>
      <w:r w:rsidRPr="009C258B">
        <w:rPr>
          <w:rFonts w:eastAsia="Times New Roman" w:cs="Times New Roman"/>
          <w:szCs w:val="24"/>
          <w:lang w:eastAsia="pt-BR"/>
        </w:rPr>
        <w:t>Dilthey</w:t>
      </w:r>
      <w:proofErr w:type="spellEnd"/>
      <w:r w:rsidR="00B93166" w:rsidRPr="009C258B">
        <w:rPr>
          <w:rFonts w:eastAsia="Times New Roman" w:cs="Times New Roman"/>
          <w:szCs w:val="24"/>
          <w:lang w:eastAsia="pt-BR"/>
        </w:rPr>
        <w:t xml:space="preserve"> não é muito frequente nos estudos benjaminianos, </w:t>
      </w:r>
      <w:r w:rsidRPr="009C258B">
        <w:rPr>
          <w:rFonts w:eastAsia="Times New Roman" w:cs="Times New Roman"/>
          <w:szCs w:val="24"/>
          <w:lang w:eastAsia="pt-BR"/>
        </w:rPr>
        <w:t>f</w:t>
      </w:r>
      <w:r w:rsidR="00B93166" w:rsidRPr="009C258B">
        <w:rPr>
          <w:rFonts w:eastAsia="Times New Roman" w:cs="Times New Roman"/>
          <w:szCs w:val="24"/>
          <w:lang w:eastAsia="pt-BR"/>
        </w:rPr>
        <w:t>aremos também</w:t>
      </w:r>
      <w:r w:rsidRPr="009C258B">
        <w:rPr>
          <w:rFonts w:eastAsia="Times New Roman" w:cs="Times New Roman"/>
          <w:szCs w:val="24"/>
          <w:lang w:eastAsia="pt-BR"/>
        </w:rPr>
        <w:t xml:space="preserve"> uma explanação das ideias fundamentais deste autor, quanto ao</w:t>
      </w:r>
      <w:r w:rsidR="00FC28B0" w:rsidRPr="009C258B">
        <w:rPr>
          <w:rFonts w:eastAsia="Times New Roman" w:cs="Times New Roman"/>
          <w:szCs w:val="24"/>
          <w:lang w:eastAsia="pt-BR"/>
        </w:rPr>
        <w:t>s</w:t>
      </w:r>
      <w:r w:rsidRPr="009C258B">
        <w:rPr>
          <w:rFonts w:eastAsia="Times New Roman" w:cs="Times New Roman"/>
          <w:szCs w:val="24"/>
          <w:lang w:eastAsia="pt-BR"/>
        </w:rPr>
        <w:t xml:space="preserve"> tópico</w:t>
      </w:r>
      <w:r w:rsidR="00FC28B0" w:rsidRPr="009C258B">
        <w:rPr>
          <w:rFonts w:eastAsia="Times New Roman" w:cs="Times New Roman"/>
          <w:szCs w:val="24"/>
          <w:lang w:eastAsia="pt-BR"/>
        </w:rPr>
        <w:t>s</w:t>
      </w:r>
      <w:r w:rsidRPr="009C258B">
        <w:rPr>
          <w:rFonts w:eastAsia="Times New Roman" w:cs="Times New Roman"/>
          <w:szCs w:val="24"/>
          <w:lang w:eastAsia="pt-BR"/>
        </w:rPr>
        <w:t xml:space="preserve"> que nos interessa</w:t>
      </w:r>
      <w:r w:rsidR="00FC28B0" w:rsidRPr="009C258B">
        <w:rPr>
          <w:rFonts w:eastAsia="Times New Roman" w:cs="Times New Roman"/>
          <w:szCs w:val="24"/>
          <w:lang w:eastAsia="pt-BR"/>
        </w:rPr>
        <w:t xml:space="preserve">m (vivência, </w:t>
      </w:r>
      <w:proofErr w:type="spellStart"/>
      <w:r w:rsidR="00FC28B0" w:rsidRPr="009C258B">
        <w:rPr>
          <w:rFonts w:eastAsia="Times New Roman" w:cs="Times New Roman"/>
          <w:szCs w:val="24"/>
          <w:lang w:eastAsia="pt-BR"/>
        </w:rPr>
        <w:t>revivenciar</w:t>
      </w:r>
      <w:proofErr w:type="spellEnd"/>
      <w:r w:rsidR="00FC28B0" w:rsidRPr="009C258B">
        <w:rPr>
          <w:rFonts w:eastAsia="Times New Roman" w:cs="Times New Roman"/>
          <w:szCs w:val="24"/>
          <w:lang w:eastAsia="pt-BR"/>
        </w:rPr>
        <w:t xml:space="preserve"> e epistemologia das ciências humanas)</w:t>
      </w:r>
      <w:r w:rsidR="000C0F6C" w:rsidRPr="009C258B">
        <w:rPr>
          <w:rFonts w:eastAsia="Times New Roman" w:cs="Times New Roman"/>
          <w:szCs w:val="24"/>
          <w:lang w:eastAsia="pt-BR"/>
        </w:rPr>
        <w:t>.</w:t>
      </w:r>
    </w:p>
    <w:p w14:paraId="1C1E1842" w14:textId="77777777" w:rsidR="00DE2E86" w:rsidRDefault="00DE2E86" w:rsidP="00B41CC5">
      <w:pPr>
        <w:spacing w:line="240" w:lineRule="auto"/>
        <w:ind w:firstLine="0"/>
        <w:contextualSpacing/>
        <w:mirrorIndents/>
        <w:rPr>
          <w:rFonts w:eastAsia="Times New Roman" w:cs="Times New Roman"/>
          <w:szCs w:val="24"/>
          <w:lang w:eastAsia="pt-BR"/>
        </w:rPr>
      </w:pPr>
    </w:p>
    <w:p w14:paraId="10101F5D" w14:textId="48DB5766" w:rsidR="00061A0F" w:rsidRDefault="00061A0F" w:rsidP="00B41CC5">
      <w:pPr>
        <w:spacing w:line="240" w:lineRule="auto"/>
        <w:ind w:firstLine="0"/>
        <w:contextualSpacing/>
        <w:mirrorIndents/>
        <w:rPr>
          <w:rFonts w:eastAsia="Times New Roman" w:cs="Times New Roman"/>
          <w:szCs w:val="24"/>
          <w:lang w:eastAsia="pt-BR"/>
        </w:rPr>
      </w:pPr>
      <w:r w:rsidRPr="009C258B">
        <w:rPr>
          <w:rFonts w:eastAsia="Times New Roman" w:cs="Times New Roman"/>
          <w:b/>
          <w:bCs/>
          <w:szCs w:val="24"/>
          <w:lang w:eastAsia="pt-BR"/>
        </w:rPr>
        <w:t>Palavras-chave:</w:t>
      </w:r>
      <w:r w:rsidRPr="009C258B">
        <w:rPr>
          <w:rFonts w:eastAsia="Times New Roman" w:cs="Times New Roman"/>
          <w:szCs w:val="24"/>
          <w:lang w:eastAsia="pt-BR"/>
        </w:rPr>
        <w:t xml:space="preserve"> Benjamin; empatia; Brecht;</w:t>
      </w:r>
      <w:r w:rsidR="00B93166" w:rsidRPr="009C258B">
        <w:rPr>
          <w:rFonts w:eastAsia="Times New Roman" w:cs="Times New Roman"/>
          <w:szCs w:val="24"/>
          <w:lang w:eastAsia="pt-BR"/>
        </w:rPr>
        <w:t xml:space="preserve"> teatro épico;</w:t>
      </w:r>
      <w:r w:rsidRPr="009C258B">
        <w:rPr>
          <w:rFonts w:eastAsia="Times New Roman" w:cs="Times New Roman"/>
          <w:szCs w:val="24"/>
          <w:lang w:eastAsia="pt-BR"/>
        </w:rPr>
        <w:t xml:space="preserve"> </w:t>
      </w:r>
      <w:proofErr w:type="spellStart"/>
      <w:r w:rsidRPr="009C258B">
        <w:rPr>
          <w:rFonts w:eastAsia="Times New Roman" w:cs="Times New Roman"/>
          <w:szCs w:val="24"/>
          <w:lang w:eastAsia="pt-BR"/>
        </w:rPr>
        <w:t>Dilthey</w:t>
      </w:r>
      <w:proofErr w:type="spellEnd"/>
      <w:r w:rsidRPr="009C258B">
        <w:rPr>
          <w:rFonts w:eastAsia="Times New Roman" w:cs="Times New Roman"/>
          <w:szCs w:val="24"/>
          <w:lang w:eastAsia="pt-BR"/>
        </w:rPr>
        <w:t xml:space="preserve">; </w:t>
      </w:r>
      <w:r w:rsidR="000C0F6C" w:rsidRPr="009C258B">
        <w:rPr>
          <w:rFonts w:eastAsia="Times New Roman" w:cs="Times New Roman"/>
          <w:szCs w:val="24"/>
          <w:lang w:eastAsia="pt-BR"/>
        </w:rPr>
        <w:t xml:space="preserve">vivência; </w:t>
      </w:r>
      <w:proofErr w:type="spellStart"/>
      <w:r w:rsidR="000C0F6C" w:rsidRPr="009C258B">
        <w:rPr>
          <w:rFonts w:eastAsia="Times New Roman" w:cs="Times New Roman"/>
          <w:szCs w:val="24"/>
          <w:lang w:eastAsia="pt-BR"/>
        </w:rPr>
        <w:t>revivenciar</w:t>
      </w:r>
      <w:proofErr w:type="spellEnd"/>
      <w:r w:rsidR="000C0F6C" w:rsidRPr="009C258B">
        <w:rPr>
          <w:rFonts w:eastAsia="Times New Roman" w:cs="Times New Roman"/>
          <w:szCs w:val="24"/>
          <w:lang w:eastAsia="pt-BR"/>
        </w:rPr>
        <w:t>; epistemologia das ciências humanas.</w:t>
      </w:r>
    </w:p>
    <w:p w14:paraId="21B4C0AB" w14:textId="2E502714" w:rsidR="00B41CC5" w:rsidRDefault="00B41CC5" w:rsidP="00B41CC5">
      <w:pPr>
        <w:spacing w:line="240" w:lineRule="auto"/>
        <w:ind w:firstLine="0"/>
        <w:contextualSpacing/>
        <w:mirrorIndents/>
        <w:rPr>
          <w:rFonts w:eastAsia="Times New Roman" w:cs="Times New Roman"/>
          <w:szCs w:val="24"/>
          <w:lang w:eastAsia="pt-BR"/>
        </w:rPr>
      </w:pPr>
    </w:p>
    <w:p w14:paraId="79A99A4E" w14:textId="77777777" w:rsidR="00B41CC5" w:rsidRPr="009C258B" w:rsidRDefault="00B41CC5" w:rsidP="00B41CC5">
      <w:pPr>
        <w:spacing w:line="240" w:lineRule="auto"/>
        <w:ind w:firstLine="0"/>
        <w:contextualSpacing/>
        <w:mirrorIndents/>
        <w:rPr>
          <w:rFonts w:eastAsia="Times New Roman" w:cs="Times New Roman"/>
          <w:szCs w:val="24"/>
          <w:lang w:eastAsia="pt-BR"/>
        </w:rPr>
      </w:pPr>
    </w:p>
    <w:p w14:paraId="712D478A" w14:textId="40C6958C" w:rsidR="00F132F5" w:rsidRPr="00ED76FC" w:rsidRDefault="00F132F5" w:rsidP="00A45C84">
      <w:pPr>
        <w:pStyle w:val="TITULOARTIGO"/>
        <w:rPr>
          <w:rFonts w:eastAsia="Times New Roman"/>
          <w:lang w:val="en-US" w:eastAsia="pt-BR"/>
        </w:rPr>
      </w:pPr>
      <w:r w:rsidRPr="00ED76FC">
        <w:rPr>
          <w:rFonts w:eastAsia="Times New Roman"/>
          <w:lang w:val="en-US" w:eastAsia="pt-BR"/>
        </w:rPr>
        <w:t>A critique of lived experience and empathy: Benjamin, Brecht and Dilthey</w:t>
      </w:r>
    </w:p>
    <w:p w14:paraId="6A399F47" w14:textId="6FEFB8CF" w:rsidR="00A45C84" w:rsidRPr="002E62AF" w:rsidRDefault="00A45C84" w:rsidP="00A45C84">
      <w:pPr>
        <w:pStyle w:val="CorpoA"/>
        <w:spacing w:line="240" w:lineRule="auto"/>
        <w:jc w:val="right"/>
        <w:rPr>
          <w:bCs/>
        </w:rPr>
      </w:pPr>
    </w:p>
    <w:p w14:paraId="5A91DC93" w14:textId="28C7EB84" w:rsidR="00DE2E86" w:rsidRPr="002E62AF" w:rsidRDefault="00DE2E86" w:rsidP="00A45C84">
      <w:pPr>
        <w:pStyle w:val="CorpoA"/>
        <w:spacing w:line="240" w:lineRule="auto"/>
        <w:jc w:val="right"/>
        <w:rPr>
          <w:bCs/>
        </w:rPr>
      </w:pPr>
    </w:p>
    <w:p w14:paraId="42D80100" w14:textId="2C5ED8E8" w:rsidR="00F132F5" w:rsidRDefault="00F132F5" w:rsidP="00A45C84">
      <w:pPr>
        <w:spacing w:line="240" w:lineRule="auto"/>
        <w:ind w:firstLine="0"/>
        <w:rPr>
          <w:rFonts w:cs="Times New Roman"/>
          <w:szCs w:val="24"/>
          <w:lang w:val="en-US"/>
        </w:rPr>
      </w:pPr>
      <w:r w:rsidRPr="00ED76FC">
        <w:rPr>
          <w:rFonts w:cs="Times New Roman"/>
          <w:b/>
          <w:bCs/>
          <w:szCs w:val="24"/>
          <w:lang w:val="en-US"/>
        </w:rPr>
        <w:t>Abstract</w:t>
      </w:r>
      <w:r w:rsidRPr="00ED76FC">
        <w:rPr>
          <w:rFonts w:cs="Times New Roman"/>
          <w:szCs w:val="24"/>
          <w:lang w:val="en-US"/>
        </w:rPr>
        <w:t>: This paper focuses on the concept of ‘empathy’ (</w:t>
      </w:r>
      <w:r w:rsidRPr="00ED76FC">
        <w:rPr>
          <w:rFonts w:cs="Times New Roman"/>
          <w:i/>
          <w:iCs/>
          <w:szCs w:val="24"/>
          <w:lang w:val="en-US"/>
        </w:rPr>
        <w:t>Einfühlung)</w:t>
      </w:r>
      <w:r w:rsidRPr="00ED76FC">
        <w:rPr>
          <w:rFonts w:cs="Times New Roman"/>
          <w:szCs w:val="24"/>
          <w:lang w:val="en-US"/>
        </w:rPr>
        <w:t xml:space="preserve"> in Brecht and Benjamin, which will be linked to the concepts of ‘lived experience’ (</w:t>
      </w:r>
      <w:proofErr w:type="spellStart"/>
      <w:r w:rsidRPr="00ED76FC">
        <w:rPr>
          <w:rFonts w:cs="Times New Roman"/>
          <w:i/>
          <w:iCs/>
          <w:szCs w:val="24"/>
          <w:lang w:val="en-US"/>
        </w:rPr>
        <w:t>Erlebnis</w:t>
      </w:r>
      <w:proofErr w:type="spellEnd"/>
      <w:r w:rsidRPr="00ED76FC">
        <w:rPr>
          <w:rFonts w:cs="Times New Roman"/>
          <w:szCs w:val="24"/>
          <w:lang w:val="en-US"/>
        </w:rPr>
        <w:t>) and ‘re-living’ (</w:t>
      </w:r>
      <w:proofErr w:type="spellStart"/>
      <w:r w:rsidRPr="00ED76FC">
        <w:rPr>
          <w:rFonts w:cs="Times New Roman"/>
          <w:i/>
          <w:iCs/>
          <w:szCs w:val="24"/>
          <w:lang w:val="en-US"/>
        </w:rPr>
        <w:t>nacherleben</w:t>
      </w:r>
      <w:proofErr w:type="spellEnd"/>
      <w:r w:rsidRPr="00ED76FC">
        <w:rPr>
          <w:rFonts w:cs="Times New Roman"/>
          <w:szCs w:val="24"/>
          <w:lang w:val="en-US"/>
        </w:rPr>
        <w:t xml:space="preserve">) in Dilthey. Following a brief mention of the status of empathy in Benjamin’s early works (1920s), we shall address two critical tasks: 1) the development of an aesthetic-political critique of empathy in Brecht and in Benjamin’s essays on Brecht (written in the 1930s); 2) the transformation of this aesthetic-political critique into an epistemological-political critique in Thesis VII of </w:t>
      </w:r>
      <w:r w:rsidRPr="00ED76FC">
        <w:rPr>
          <w:rFonts w:cs="Times New Roman"/>
          <w:i/>
          <w:iCs/>
          <w:szCs w:val="24"/>
          <w:lang w:val="en-US"/>
        </w:rPr>
        <w:t>On the Concept of History</w:t>
      </w:r>
      <w:r w:rsidRPr="00ED76FC">
        <w:rPr>
          <w:rFonts w:cs="Times New Roman"/>
          <w:szCs w:val="24"/>
          <w:lang w:val="en-US"/>
        </w:rPr>
        <w:t xml:space="preserve"> (1940). At the same time, we shall seek to map Benjamin’s references to Dilthey during this phase of his thought, demonstrating that Dilthey can be seen as one of the primary targets of the epistemological-political critique of empathy. As Dilthey does not feature very frequently in </w:t>
      </w:r>
      <w:proofErr w:type="spellStart"/>
      <w:r w:rsidRPr="00ED76FC">
        <w:rPr>
          <w:rFonts w:cs="Times New Roman"/>
          <w:szCs w:val="24"/>
          <w:lang w:val="en-US"/>
        </w:rPr>
        <w:t>Benjaminian</w:t>
      </w:r>
      <w:proofErr w:type="spellEnd"/>
      <w:r w:rsidRPr="00ED76FC">
        <w:rPr>
          <w:rFonts w:cs="Times New Roman"/>
          <w:szCs w:val="24"/>
          <w:lang w:val="en-US"/>
        </w:rPr>
        <w:t xml:space="preserve"> studies, we shall also provide an explanation of this author’s fundamental ideas regarding the topics that interest us (lived experience, re-living and the epistemology of the human sciences).</w:t>
      </w:r>
    </w:p>
    <w:p w14:paraId="4DB4160B" w14:textId="77777777" w:rsidR="00B92D01" w:rsidRPr="00ED76FC" w:rsidRDefault="00B92D01" w:rsidP="00A45C84">
      <w:pPr>
        <w:spacing w:line="240" w:lineRule="auto"/>
        <w:ind w:firstLine="0"/>
        <w:rPr>
          <w:rFonts w:cs="Times New Roman"/>
          <w:szCs w:val="24"/>
          <w:lang w:val="en-US"/>
        </w:rPr>
      </w:pPr>
    </w:p>
    <w:p w14:paraId="45163589" w14:textId="1B7F770A" w:rsidR="00F132F5" w:rsidRPr="00ED76FC" w:rsidRDefault="00F132F5" w:rsidP="00A45C84">
      <w:pPr>
        <w:spacing w:line="240" w:lineRule="auto"/>
        <w:ind w:firstLine="0"/>
        <w:rPr>
          <w:rFonts w:cs="Times New Roman"/>
          <w:szCs w:val="24"/>
          <w:lang w:val="en-US"/>
        </w:rPr>
      </w:pPr>
      <w:r w:rsidRPr="00ED76FC">
        <w:rPr>
          <w:rFonts w:cs="Times New Roman"/>
          <w:b/>
          <w:bCs/>
          <w:szCs w:val="24"/>
          <w:lang w:val="en-US"/>
        </w:rPr>
        <w:t>Keywords</w:t>
      </w:r>
      <w:r w:rsidRPr="00ED76FC">
        <w:rPr>
          <w:rFonts w:cs="Times New Roman"/>
          <w:szCs w:val="24"/>
          <w:lang w:val="en-US"/>
        </w:rPr>
        <w:t xml:space="preserve">: Benjamin; </w:t>
      </w:r>
      <w:r w:rsidR="002E62AF">
        <w:rPr>
          <w:rFonts w:cs="Times New Roman"/>
          <w:szCs w:val="24"/>
          <w:lang w:val="en-US"/>
        </w:rPr>
        <w:t>E</w:t>
      </w:r>
      <w:r w:rsidRPr="00ED76FC">
        <w:rPr>
          <w:rFonts w:cs="Times New Roman"/>
          <w:szCs w:val="24"/>
          <w:lang w:val="en-US"/>
        </w:rPr>
        <w:t xml:space="preserve">mpathy; Brecht; </w:t>
      </w:r>
      <w:r w:rsidR="002E62AF">
        <w:rPr>
          <w:rFonts w:cs="Times New Roman"/>
          <w:szCs w:val="24"/>
          <w:lang w:val="en-US"/>
        </w:rPr>
        <w:t>E</w:t>
      </w:r>
      <w:r w:rsidRPr="00ED76FC">
        <w:rPr>
          <w:rFonts w:cs="Times New Roman"/>
          <w:szCs w:val="24"/>
          <w:lang w:val="en-US"/>
        </w:rPr>
        <w:t>pic theatre; Dilthey; lived experience; re-living; epistemology of the human sciences.</w:t>
      </w:r>
    </w:p>
    <w:bookmarkEnd w:id="0"/>
    <w:bookmarkEnd w:id="2"/>
    <w:p w14:paraId="6BE268FA" w14:textId="77777777" w:rsidR="00A45C84" w:rsidRPr="002E62AF" w:rsidRDefault="00A45C84" w:rsidP="00B92D01">
      <w:pPr>
        <w:ind w:firstLine="0"/>
        <w:contextualSpacing/>
        <w:mirrorIndents/>
        <w:rPr>
          <w:rFonts w:eastAsia="Calibri" w:cs="Times New Roman"/>
          <w:b/>
          <w:bCs/>
          <w:szCs w:val="24"/>
          <w:lang w:val="en-US"/>
        </w:rPr>
      </w:pPr>
    </w:p>
    <w:p w14:paraId="6E143570" w14:textId="77777777" w:rsidR="00A45C84" w:rsidRPr="002E62AF" w:rsidRDefault="00A45C84" w:rsidP="00061A0F">
      <w:pPr>
        <w:contextualSpacing/>
        <w:mirrorIndents/>
        <w:rPr>
          <w:rFonts w:eastAsia="Calibri" w:cs="Times New Roman"/>
          <w:b/>
          <w:bCs/>
          <w:szCs w:val="24"/>
          <w:lang w:val="en-US"/>
        </w:rPr>
        <w:sectPr w:rsidR="00A45C84" w:rsidRPr="002E62AF" w:rsidSect="00B41CC5">
          <w:headerReference w:type="default" r:id="rId8"/>
          <w:footerReference w:type="default" r:id="rId9"/>
          <w:pgSz w:w="11906" w:h="16838"/>
          <w:pgMar w:top="1701" w:right="1134" w:bottom="1134" w:left="1701" w:header="709" w:footer="709" w:gutter="0"/>
          <w:cols w:space="708"/>
          <w:docGrid w:linePitch="360"/>
        </w:sectPr>
      </w:pPr>
    </w:p>
    <w:p w14:paraId="06485D83" w14:textId="67E2423E" w:rsidR="00F93DBB" w:rsidRPr="009C258B" w:rsidRDefault="00C40664" w:rsidP="00B92D01">
      <w:pPr>
        <w:pStyle w:val="Ttulo1"/>
      </w:pPr>
      <w:r w:rsidRPr="009C258B">
        <w:lastRenderedPageBreak/>
        <w:t>Prólogo</w:t>
      </w:r>
    </w:p>
    <w:p w14:paraId="1A1205FE" w14:textId="7CA83120" w:rsidR="0085072A" w:rsidRPr="009C258B" w:rsidRDefault="005A0D2F" w:rsidP="005F3E65">
      <w:r w:rsidRPr="009C258B">
        <w:t xml:space="preserve">A ideia de “interpretação” geralmente é associada à tradição hermenêutica moderna, que começa com </w:t>
      </w:r>
      <w:r w:rsidR="003119B9" w:rsidRPr="009C258B">
        <w:t xml:space="preserve">Friedrich </w:t>
      </w:r>
      <w:proofErr w:type="spellStart"/>
      <w:r w:rsidRPr="009C258B">
        <w:t>Schleiermacher</w:t>
      </w:r>
      <w:proofErr w:type="spellEnd"/>
      <w:r w:rsidRPr="009C258B">
        <w:t xml:space="preserve"> e</w:t>
      </w:r>
      <w:r w:rsidR="00B60967" w:rsidRPr="009C258B">
        <w:t xml:space="preserve"> é </w:t>
      </w:r>
      <w:r w:rsidR="00A3526A" w:rsidRPr="009C258B">
        <w:t>desenvolvida, quanto às ciências humanas,</w:t>
      </w:r>
      <w:r w:rsidR="00B60967" w:rsidRPr="009C258B">
        <w:t xml:space="preserve"> por Wilhelm</w:t>
      </w:r>
      <w:r w:rsidRPr="009C258B">
        <w:t xml:space="preserve"> </w:t>
      </w:r>
      <w:proofErr w:type="spellStart"/>
      <w:r w:rsidRPr="009C258B">
        <w:t>Dilthey</w:t>
      </w:r>
      <w:proofErr w:type="spellEnd"/>
      <w:r w:rsidRPr="009C258B">
        <w:t>. Entretant</w:t>
      </w:r>
      <w:r w:rsidR="002143E7" w:rsidRPr="009C258B">
        <w:t>o</w:t>
      </w:r>
      <w:r w:rsidR="00634BDD" w:rsidRPr="009C258B">
        <w:t xml:space="preserve">, </w:t>
      </w:r>
      <w:r w:rsidR="004D21AD" w:rsidRPr="009C258B">
        <w:t>como procuraremos mostrar na sequência,</w:t>
      </w:r>
      <w:r w:rsidRPr="009C258B">
        <w:t xml:space="preserve"> </w:t>
      </w:r>
      <w:r w:rsidR="00A3526A" w:rsidRPr="009C258B">
        <w:t xml:space="preserve">Walter </w:t>
      </w:r>
      <w:r w:rsidRPr="009C258B">
        <w:t>Benjamin desenvolveu uma espécie de “hermenêutica” própria, mesmo que não tenha usado esse termo. Ele o fez, inicialmente, partindo da diferença entre a “crítica” e o “comentário”, numa reflexão sobre a diferença entre a filosofia e a filologia</w:t>
      </w:r>
      <w:r w:rsidR="004D21AD" w:rsidRPr="009C258B">
        <w:rPr>
          <w:rStyle w:val="Refdenotaderodap"/>
          <w:rFonts w:eastAsia="Calibri" w:cs="Times New Roman"/>
          <w:szCs w:val="24"/>
        </w:rPr>
        <w:footnoteReference w:id="2"/>
      </w:r>
      <w:r w:rsidRPr="009C258B">
        <w:t xml:space="preserve">. Mas o tema da </w:t>
      </w:r>
      <w:r w:rsidRPr="009C258B">
        <w:rPr>
          <w:i/>
          <w:iCs/>
        </w:rPr>
        <w:t xml:space="preserve">crítica </w:t>
      </w:r>
      <w:r w:rsidRPr="009C258B">
        <w:t xml:space="preserve">(sua reflexão sobre a interpretação) o acompanhou por toda a sua obra, sempre girando em torno da ideia fundamental de que a interpretação do passado deve recusar a hagiografia, a monumentalização, </w:t>
      </w:r>
      <w:r w:rsidR="003119B9" w:rsidRPr="009C258B">
        <w:t>o “clássico” (no sentido de uma ideologização de realizações que</w:t>
      </w:r>
      <w:r w:rsidR="00A3526A" w:rsidRPr="009C258B">
        <w:t>,</w:t>
      </w:r>
      <w:r w:rsidR="003119B9" w:rsidRPr="009C258B">
        <w:t xml:space="preserve"> em si </w:t>
      </w:r>
      <w:r w:rsidR="00A3526A" w:rsidRPr="009C258B">
        <w:t xml:space="preserve">mesmas, </w:t>
      </w:r>
      <w:r w:rsidR="003119B9" w:rsidRPr="009C258B">
        <w:t>podem ser realmente relevantes, mas que não devem ser “entronizadas” sem avaliação), abrindo caminho para o estranhamento, a distância e a descontinuidade.</w:t>
      </w:r>
    </w:p>
    <w:p w14:paraId="573931F0" w14:textId="5B7195D4" w:rsidR="004964D8" w:rsidRPr="009C258B" w:rsidRDefault="003119B9" w:rsidP="005F3E65">
      <w:pPr>
        <w:rPr>
          <w:rFonts w:eastAsia="Times New Roman"/>
          <w:lang w:eastAsia="pt-BR"/>
        </w:rPr>
      </w:pPr>
      <w:r w:rsidRPr="009C258B">
        <w:t>A crítica benjaminiana da empatia</w:t>
      </w:r>
      <w:r w:rsidR="00D46FFD" w:rsidRPr="009C258B">
        <w:t xml:space="preserve"> </w:t>
      </w:r>
      <w:r w:rsidRPr="009C258B">
        <w:t>é um dos capítulos dessa história.</w:t>
      </w:r>
      <w:r w:rsidR="00A3526A" w:rsidRPr="009C258B">
        <w:t xml:space="preserve"> Na filosofia da arte, o tema </w:t>
      </w:r>
      <w:r w:rsidR="002143E7" w:rsidRPr="009C258B">
        <w:t>da identificação afetiva</w:t>
      </w:r>
      <w:r w:rsidR="008A0C5C" w:rsidRPr="009C258B">
        <w:rPr>
          <w:rStyle w:val="Refdenotaderodap"/>
          <w:rFonts w:eastAsia="Calibri" w:cs="Times New Roman"/>
          <w:szCs w:val="24"/>
        </w:rPr>
        <w:footnoteReference w:id="3"/>
      </w:r>
      <w:r w:rsidR="002143E7" w:rsidRPr="009C258B">
        <w:t xml:space="preserve"> ou empatia </w:t>
      </w:r>
      <w:r w:rsidR="00A3526A" w:rsidRPr="009C258B">
        <w:t>é mais conhecido pela sua centralidade na</w:t>
      </w:r>
      <w:r w:rsidR="00807FD7" w:rsidRPr="009C258B">
        <w:rPr>
          <w:rFonts w:eastAsia="Times New Roman"/>
          <w:lang w:eastAsia="pt-BR"/>
        </w:rPr>
        <w:t xml:space="preserve"> teoria do teatro épico elaborada por </w:t>
      </w:r>
      <w:r w:rsidR="002F0762" w:rsidRPr="009C258B">
        <w:rPr>
          <w:rFonts w:eastAsia="Times New Roman"/>
          <w:lang w:eastAsia="pt-BR"/>
        </w:rPr>
        <w:t xml:space="preserve">Bertolt </w:t>
      </w:r>
      <w:r w:rsidR="00807FD7" w:rsidRPr="009C258B">
        <w:rPr>
          <w:rFonts w:eastAsia="Times New Roman"/>
          <w:lang w:eastAsia="pt-BR"/>
        </w:rPr>
        <w:t>Brecht</w:t>
      </w:r>
      <w:r w:rsidR="004D21AD" w:rsidRPr="009C258B">
        <w:rPr>
          <w:rStyle w:val="Refdenotaderodap"/>
          <w:rFonts w:eastAsia="Times New Roman" w:cs="Times New Roman"/>
          <w:szCs w:val="24"/>
          <w:lang w:eastAsia="pt-BR"/>
        </w:rPr>
        <w:footnoteReference w:id="4"/>
      </w:r>
      <w:r w:rsidR="00807FD7" w:rsidRPr="009C258B">
        <w:rPr>
          <w:rFonts w:eastAsia="Times New Roman"/>
          <w:lang w:eastAsia="pt-BR"/>
        </w:rPr>
        <w:t xml:space="preserve">. </w:t>
      </w:r>
      <w:r w:rsidR="00A3526A" w:rsidRPr="009C258B">
        <w:rPr>
          <w:rFonts w:eastAsia="Times New Roman"/>
          <w:lang w:eastAsia="pt-BR"/>
        </w:rPr>
        <w:t>Na filosofia da história, é i</w:t>
      </w:r>
      <w:r w:rsidR="00807FD7" w:rsidRPr="009C258B">
        <w:rPr>
          <w:rFonts w:eastAsia="Times New Roman"/>
          <w:lang w:eastAsia="pt-BR"/>
        </w:rPr>
        <w:t>gualmente bem conhecida a menção que Benjamin faz a</w:t>
      </w:r>
      <w:r w:rsidR="002F0762" w:rsidRPr="009C258B">
        <w:rPr>
          <w:rFonts w:eastAsia="Times New Roman"/>
          <w:lang w:eastAsia="pt-BR"/>
        </w:rPr>
        <w:t xml:space="preserve"> este conceito</w:t>
      </w:r>
      <w:r w:rsidR="00807FD7" w:rsidRPr="009C258B">
        <w:rPr>
          <w:rFonts w:eastAsia="Times New Roman"/>
          <w:lang w:eastAsia="pt-BR"/>
        </w:rPr>
        <w:t xml:space="preserve"> nas Teses de 1940</w:t>
      </w:r>
      <w:r w:rsidR="00A3526A" w:rsidRPr="009C258B">
        <w:rPr>
          <w:rFonts w:eastAsia="Times New Roman"/>
          <w:lang w:eastAsia="pt-BR"/>
        </w:rPr>
        <w:t xml:space="preserve">. </w:t>
      </w:r>
      <w:r w:rsidR="00807FD7" w:rsidRPr="009C258B">
        <w:rPr>
          <w:rFonts w:eastAsia="Times New Roman"/>
          <w:lang w:eastAsia="pt-BR"/>
        </w:rPr>
        <w:t>Não se ignora, naturalmente, que essa crítica da empatia nas Teses po</w:t>
      </w:r>
      <w:r w:rsidR="00A3526A" w:rsidRPr="009C258B">
        <w:rPr>
          <w:rFonts w:eastAsia="Times New Roman"/>
          <w:lang w:eastAsia="pt-BR"/>
        </w:rPr>
        <w:t>ssa</w:t>
      </w:r>
      <w:r w:rsidR="00807FD7" w:rsidRPr="009C258B">
        <w:rPr>
          <w:rFonts w:eastAsia="Times New Roman"/>
          <w:lang w:eastAsia="pt-BR"/>
        </w:rPr>
        <w:t xml:space="preserve"> ter se inspirado no fecundo d</w:t>
      </w:r>
      <w:r w:rsidR="002F0762" w:rsidRPr="009C258B">
        <w:rPr>
          <w:rFonts w:eastAsia="Times New Roman"/>
          <w:lang w:eastAsia="pt-BR"/>
        </w:rPr>
        <w:t>iálogo</w:t>
      </w:r>
      <w:r w:rsidR="00807FD7" w:rsidRPr="009C258B">
        <w:rPr>
          <w:rFonts w:eastAsia="Times New Roman"/>
          <w:lang w:eastAsia="pt-BR"/>
        </w:rPr>
        <w:t xml:space="preserve"> de Benjamin com Brecht e nos textos </w:t>
      </w:r>
      <w:r w:rsidR="00A3526A" w:rsidRPr="009C258B">
        <w:rPr>
          <w:rFonts w:eastAsia="Times New Roman"/>
          <w:lang w:eastAsia="pt-BR"/>
        </w:rPr>
        <w:t xml:space="preserve">benjaminianos </w:t>
      </w:r>
      <w:r w:rsidR="00807FD7" w:rsidRPr="009C258B">
        <w:rPr>
          <w:rFonts w:eastAsia="Times New Roman"/>
          <w:lang w:eastAsia="pt-BR"/>
        </w:rPr>
        <w:t>que surgiram dessa interação. Pouco tem sido dito</w:t>
      </w:r>
      <w:r w:rsidR="002143E7" w:rsidRPr="009C258B">
        <w:rPr>
          <w:rStyle w:val="Refdenotaderodap"/>
          <w:rFonts w:eastAsia="Times New Roman" w:cs="Times New Roman"/>
          <w:szCs w:val="24"/>
          <w:lang w:eastAsia="pt-BR"/>
        </w:rPr>
        <w:footnoteReference w:id="5"/>
      </w:r>
      <w:r w:rsidR="00807FD7" w:rsidRPr="009C258B">
        <w:rPr>
          <w:rFonts w:eastAsia="Times New Roman"/>
          <w:lang w:eastAsia="pt-BR"/>
        </w:rPr>
        <w:t>, no entanto, sobre como a leitura benjami</w:t>
      </w:r>
      <w:r w:rsidR="002F0762" w:rsidRPr="009C258B">
        <w:rPr>
          <w:rFonts w:eastAsia="Times New Roman"/>
          <w:lang w:eastAsia="pt-BR"/>
        </w:rPr>
        <w:t>ni</w:t>
      </w:r>
      <w:r w:rsidR="00807FD7" w:rsidRPr="009C258B">
        <w:rPr>
          <w:rFonts w:eastAsia="Times New Roman"/>
          <w:lang w:eastAsia="pt-BR"/>
        </w:rPr>
        <w:t>ana de</w:t>
      </w:r>
      <w:r w:rsidR="00CF5B0C" w:rsidRPr="009C258B">
        <w:rPr>
          <w:rFonts w:eastAsia="Times New Roman"/>
          <w:lang w:eastAsia="pt-BR"/>
        </w:rPr>
        <w:t xml:space="preserve"> </w:t>
      </w:r>
      <w:proofErr w:type="spellStart"/>
      <w:r w:rsidR="00807FD7" w:rsidRPr="009C258B">
        <w:rPr>
          <w:rFonts w:eastAsia="Times New Roman"/>
          <w:lang w:eastAsia="pt-BR"/>
        </w:rPr>
        <w:t>D</w:t>
      </w:r>
      <w:r w:rsidR="002F0762" w:rsidRPr="009C258B">
        <w:rPr>
          <w:rFonts w:eastAsia="Times New Roman"/>
          <w:lang w:eastAsia="pt-BR"/>
        </w:rPr>
        <w:t>ilthey</w:t>
      </w:r>
      <w:proofErr w:type="spellEnd"/>
      <w:r w:rsidR="00807FD7" w:rsidRPr="009C258B">
        <w:rPr>
          <w:rFonts w:eastAsia="Times New Roman"/>
          <w:lang w:eastAsia="pt-BR"/>
        </w:rPr>
        <w:t xml:space="preserve"> pode lançar luz sobre o tema.</w:t>
      </w:r>
      <w:r w:rsidR="00C40664" w:rsidRPr="009C258B">
        <w:rPr>
          <w:rFonts w:eastAsia="Times New Roman"/>
          <w:lang w:eastAsia="pt-BR"/>
        </w:rPr>
        <w:t xml:space="preserve"> Brecht, como veremos, usa um vocabulário que não é alheio ao debate</w:t>
      </w:r>
      <w:r w:rsidR="002F0762" w:rsidRPr="009C258B">
        <w:rPr>
          <w:rFonts w:eastAsia="Times New Roman"/>
          <w:lang w:eastAsia="pt-BR"/>
        </w:rPr>
        <w:t xml:space="preserve"> acadêmico</w:t>
      </w:r>
      <w:r w:rsidR="00C40664" w:rsidRPr="009C258B">
        <w:rPr>
          <w:rFonts w:eastAsia="Times New Roman"/>
          <w:lang w:eastAsia="pt-BR"/>
        </w:rPr>
        <w:t xml:space="preserve"> sobre a empatia no contexto alemão da época. Benjamin, por sua vez, retoma esse vocabulário, criando um tópico brechtiano na epistemologia da história</w:t>
      </w:r>
      <w:r w:rsidR="00CF5B0C" w:rsidRPr="009C258B">
        <w:rPr>
          <w:rFonts w:eastAsia="Times New Roman"/>
          <w:lang w:eastAsia="pt-BR"/>
        </w:rPr>
        <w:t xml:space="preserve"> </w:t>
      </w:r>
      <w:r w:rsidR="00C40664" w:rsidRPr="009C258B">
        <w:rPr>
          <w:rFonts w:eastAsia="Times New Roman"/>
          <w:lang w:eastAsia="pt-BR"/>
        </w:rPr>
        <w:t>e contrapondo (mesmo que indiretamente) Bre</w:t>
      </w:r>
      <w:r w:rsidR="002F0762" w:rsidRPr="009C258B">
        <w:rPr>
          <w:rFonts w:eastAsia="Times New Roman"/>
          <w:lang w:eastAsia="pt-BR"/>
        </w:rPr>
        <w:t>ch</w:t>
      </w:r>
      <w:r w:rsidR="00C40664" w:rsidRPr="009C258B">
        <w:rPr>
          <w:rFonts w:eastAsia="Times New Roman"/>
          <w:lang w:eastAsia="pt-BR"/>
        </w:rPr>
        <w:t xml:space="preserve">t e </w:t>
      </w:r>
      <w:proofErr w:type="spellStart"/>
      <w:r w:rsidR="00C40664" w:rsidRPr="009C258B">
        <w:rPr>
          <w:rFonts w:eastAsia="Times New Roman"/>
          <w:lang w:eastAsia="pt-BR"/>
        </w:rPr>
        <w:t>D</w:t>
      </w:r>
      <w:r w:rsidR="00CF5B0C" w:rsidRPr="009C258B">
        <w:rPr>
          <w:rFonts w:eastAsia="Times New Roman"/>
          <w:lang w:eastAsia="pt-BR"/>
        </w:rPr>
        <w:t>ilthey</w:t>
      </w:r>
      <w:proofErr w:type="spellEnd"/>
      <w:r w:rsidR="00C40664" w:rsidRPr="009C258B">
        <w:rPr>
          <w:rFonts w:eastAsia="Times New Roman"/>
          <w:lang w:eastAsia="pt-BR"/>
        </w:rPr>
        <w:t>, de modo a criar uma reflexão inédita: uma epistemologia pol</w:t>
      </w:r>
      <w:r w:rsidR="0085072A" w:rsidRPr="009C258B">
        <w:rPr>
          <w:rFonts w:eastAsia="Times New Roman"/>
          <w:lang w:eastAsia="pt-BR"/>
        </w:rPr>
        <w:t>í</w:t>
      </w:r>
      <w:r w:rsidR="00C40664" w:rsidRPr="009C258B">
        <w:rPr>
          <w:rFonts w:eastAsia="Times New Roman"/>
          <w:lang w:eastAsia="pt-BR"/>
        </w:rPr>
        <w:t xml:space="preserve">tica da história cujo ponto de partida é estético. </w:t>
      </w:r>
    </w:p>
    <w:p w14:paraId="161467E9" w14:textId="611069B2" w:rsidR="003B6EF3" w:rsidRDefault="003B6EF3" w:rsidP="005F3E65">
      <w:pPr>
        <w:rPr>
          <w:lang w:eastAsia="pt-BR"/>
        </w:rPr>
      </w:pPr>
    </w:p>
    <w:p w14:paraId="4DB3BEE9" w14:textId="77777777" w:rsidR="00565B3A" w:rsidRPr="009C258B" w:rsidRDefault="00565B3A" w:rsidP="005F3E65">
      <w:pPr>
        <w:rPr>
          <w:lang w:eastAsia="pt-BR"/>
        </w:rPr>
      </w:pPr>
    </w:p>
    <w:p w14:paraId="71AD5F06" w14:textId="738B282F" w:rsidR="00061A0F" w:rsidRPr="003B6EF3" w:rsidRDefault="00061A0F" w:rsidP="00B92D01">
      <w:pPr>
        <w:pStyle w:val="Ttulo1"/>
        <w:rPr>
          <w:color w:val="auto"/>
        </w:rPr>
      </w:pPr>
      <w:r w:rsidRPr="009C258B">
        <w:lastRenderedPageBreak/>
        <w:t>Empatia na época de Benjamin e n</w:t>
      </w:r>
      <w:r w:rsidR="00CF5B0C" w:rsidRPr="009C258B">
        <w:t xml:space="preserve">os escritos benjaminianos </w:t>
      </w:r>
    </w:p>
    <w:p w14:paraId="513C9E1B" w14:textId="2F8DD3F0" w:rsidR="0026247D" w:rsidRPr="009C258B" w:rsidRDefault="00F93DBB" w:rsidP="005F3E65">
      <w:r w:rsidRPr="009C258B">
        <w:t xml:space="preserve">Nas primeiras décadas do século passado, o conceito de empatia tinha uma presença bem visível nas discussões filosóficas e psicológicas </w:t>
      </w:r>
      <w:r w:rsidR="0026247D" w:rsidRPr="009C258B">
        <w:t>d</w:t>
      </w:r>
      <w:r w:rsidRPr="009C258B">
        <w:t xml:space="preserve">o espaço cultural de língua alemã. Ele estava presente, por exemplo, na estética psicológica de Theodor </w:t>
      </w:r>
      <w:proofErr w:type="spellStart"/>
      <w:r w:rsidRPr="009C258B">
        <w:t>Lipps</w:t>
      </w:r>
      <w:proofErr w:type="spellEnd"/>
      <w:r w:rsidRPr="009C258B">
        <w:t>, na fenomenologia de Edmund Husserl e Edith Stein e na psicologia fenomenológica de Moritz Geiger</w:t>
      </w:r>
      <w:r w:rsidR="00F74677" w:rsidRPr="009C258B">
        <w:rPr>
          <w:rStyle w:val="Refdenotaderodap"/>
          <w:rFonts w:eastAsia="Calibri" w:cs="Times New Roman"/>
          <w:szCs w:val="24"/>
        </w:rPr>
        <w:footnoteReference w:id="6"/>
      </w:r>
      <w:r w:rsidRPr="009C258B">
        <w:t xml:space="preserve">. Ele também estava em ação na principal obra sobre o trágico publicada no fim do século XIX, a </w:t>
      </w:r>
      <w:r w:rsidRPr="009C258B">
        <w:rPr>
          <w:i/>
          <w:iCs/>
        </w:rPr>
        <w:t>Estética d</w:t>
      </w:r>
      <w:r w:rsidR="00C15D8A">
        <w:rPr>
          <w:i/>
          <w:iCs/>
        </w:rPr>
        <w:t>o</w:t>
      </w:r>
      <w:r w:rsidRPr="009C258B">
        <w:rPr>
          <w:i/>
          <w:iCs/>
        </w:rPr>
        <w:t xml:space="preserve"> Trágico </w:t>
      </w:r>
      <w:r w:rsidRPr="009C258B">
        <w:t>(1</w:t>
      </w:r>
      <w:r w:rsidR="00F30CE1" w:rsidRPr="009C258B">
        <w:t>8</w:t>
      </w:r>
      <w:r w:rsidRPr="009C258B">
        <w:t xml:space="preserve">97), de Johannes </w:t>
      </w:r>
      <w:proofErr w:type="spellStart"/>
      <w:r w:rsidRPr="009C258B">
        <w:t>Volkelt</w:t>
      </w:r>
      <w:proofErr w:type="spellEnd"/>
      <w:r w:rsidR="0019501F" w:rsidRPr="009C258B">
        <w:rPr>
          <w:rStyle w:val="Refdenotaderodap"/>
          <w:rFonts w:eastAsia="Calibri" w:cs="Times New Roman"/>
          <w:szCs w:val="24"/>
        </w:rPr>
        <w:footnoteReference w:id="7"/>
      </w:r>
      <w:r w:rsidRPr="009C258B">
        <w:t>,</w:t>
      </w:r>
      <w:r w:rsidR="0031585E" w:rsidRPr="009C258B">
        <w:t xml:space="preserve"> que é um exemplo típico da estética psicológica que era bastante influente nesta época.</w:t>
      </w:r>
    </w:p>
    <w:p w14:paraId="7A6DC15E" w14:textId="225CF509" w:rsidR="00065F72" w:rsidRPr="009C258B" w:rsidRDefault="0031585E" w:rsidP="005F3E65">
      <w:r w:rsidRPr="009C258B">
        <w:t>Não é por acaso, portanto, que o termo “empatia”</w:t>
      </w:r>
      <w:r w:rsidR="00CF5B0C" w:rsidRPr="009C258B">
        <w:t xml:space="preserve"> </w:t>
      </w:r>
      <w:r w:rsidRPr="009C258B">
        <w:t xml:space="preserve">aparece com frequência nos </w:t>
      </w:r>
      <w:r w:rsidR="0026247D" w:rsidRPr="009C258B">
        <w:t xml:space="preserve">primeiros </w:t>
      </w:r>
      <w:r w:rsidRPr="009C258B">
        <w:t>escritos de Benjamin</w:t>
      </w:r>
      <w:r w:rsidR="00F93DBB" w:rsidRPr="009C258B">
        <w:t xml:space="preserve">. </w:t>
      </w:r>
      <w:r w:rsidRPr="009C258B">
        <w:t>Podemos encontrá-lo</w:t>
      </w:r>
      <w:r w:rsidR="0012542D" w:rsidRPr="009C258B">
        <w:t>,</w:t>
      </w:r>
      <w:r w:rsidR="00F93DBB" w:rsidRPr="009C258B">
        <w:t xml:space="preserve"> por exemplo, no extenso ensaio sobre Goethe</w:t>
      </w:r>
      <w:r w:rsidR="00992904" w:rsidRPr="009C258B">
        <w:t xml:space="preserve"> (“</w:t>
      </w:r>
      <w:r w:rsidR="008A0C5C" w:rsidRPr="009C258B">
        <w:t>Sobre ‘</w:t>
      </w:r>
      <w:r w:rsidR="00992904" w:rsidRPr="009C258B">
        <w:t>As Afinidades Eletivas</w:t>
      </w:r>
      <w:r w:rsidR="008A0C5C" w:rsidRPr="009C258B">
        <w:t>’</w:t>
      </w:r>
      <w:r w:rsidR="00992904" w:rsidRPr="009C258B">
        <w:t>, de Goethe”, 1922)</w:t>
      </w:r>
      <w:r w:rsidR="00F93DBB" w:rsidRPr="009C258B">
        <w:t xml:space="preserve"> e na tese</w:t>
      </w:r>
      <w:r w:rsidR="0026247D" w:rsidRPr="009C258B">
        <w:t xml:space="preserve"> de livre-docência</w:t>
      </w:r>
      <w:r w:rsidR="00F93DBB" w:rsidRPr="009C258B">
        <w:t xml:space="preserve"> sobre o </w:t>
      </w:r>
      <w:proofErr w:type="spellStart"/>
      <w:r w:rsidR="00F93DBB" w:rsidRPr="009C258B">
        <w:rPr>
          <w:i/>
          <w:iCs/>
        </w:rPr>
        <w:t>Trauerspiel</w:t>
      </w:r>
      <w:proofErr w:type="spellEnd"/>
      <w:r w:rsidR="00992904" w:rsidRPr="009C258B">
        <w:rPr>
          <w:i/>
          <w:iCs/>
        </w:rPr>
        <w:t xml:space="preserve"> </w:t>
      </w:r>
      <w:r w:rsidR="00992904" w:rsidRPr="009C258B">
        <w:t>(</w:t>
      </w:r>
      <w:r w:rsidR="00992904" w:rsidRPr="009C258B">
        <w:rPr>
          <w:i/>
          <w:iCs/>
        </w:rPr>
        <w:t>Origem da peça de luto alemã</w:t>
      </w:r>
      <w:r w:rsidR="00992904" w:rsidRPr="009C258B">
        <w:t>, 1927)</w:t>
      </w:r>
      <w:r w:rsidR="00F93DBB" w:rsidRPr="009C258B">
        <w:rPr>
          <w:rStyle w:val="Refdenotaderodap"/>
          <w:rFonts w:eastAsia="Calibri" w:cs="Times New Roman"/>
          <w:szCs w:val="24"/>
        </w:rPr>
        <w:footnoteReference w:id="8"/>
      </w:r>
      <w:r w:rsidR="0026247D" w:rsidRPr="009C258B">
        <w:t>. Nesses trabalhos iniciais,</w:t>
      </w:r>
      <w:r w:rsidR="00992904" w:rsidRPr="009C258B">
        <w:t xml:space="preserve"> as </w:t>
      </w:r>
      <w:r w:rsidR="00F93DBB" w:rsidRPr="009C258B">
        <w:t>conotações do termo</w:t>
      </w:r>
      <w:r w:rsidR="0026247D" w:rsidRPr="009C258B">
        <w:t xml:space="preserve"> </w:t>
      </w:r>
      <w:proofErr w:type="spellStart"/>
      <w:r w:rsidR="0026247D" w:rsidRPr="009C258B">
        <w:rPr>
          <w:i/>
          <w:iCs/>
        </w:rPr>
        <w:t>Einfühlung</w:t>
      </w:r>
      <w:proofErr w:type="spellEnd"/>
      <w:r w:rsidR="00F93DBB" w:rsidRPr="009C258B">
        <w:t xml:space="preserve"> são</w:t>
      </w:r>
      <w:r w:rsidR="00992904" w:rsidRPr="009C258B">
        <w:t xml:space="preserve"> essencialmente </w:t>
      </w:r>
      <w:r w:rsidR="00F93DBB" w:rsidRPr="009C258B">
        <w:t xml:space="preserve">depreciativas, </w:t>
      </w:r>
      <w:r w:rsidR="00992904" w:rsidRPr="009C258B">
        <w:t>uma vez que a</w:t>
      </w:r>
      <w:r w:rsidR="00F93DBB" w:rsidRPr="009C258B">
        <w:t xml:space="preserve"> empatia é vista </w:t>
      </w:r>
      <w:r w:rsidR="0026247D" w:rsidRPr="009C258B">
        <w:t xml:space="preserve">então </w:t>
      </w:r>
      <w:r w:rsidR="00F93DBB" w:rsidRPr="009C258B">
        <w:t>como uma atividade</w:t>
      </w:r>
      <w:r w:rsidR="0026247D" w:rsidRPr="009C258B">
        <w:t xml:space="preserve"> fundamentalmente </w:t>
      </w:r>
      <w:r w:rsidR="0026247D" w:rsidRPr="009C258B">
        <w:rPr>
          <w:i/>
          <w:iCs/>
        </w:rPr>
        <w:t>subjetiva</w:t>
      </w:r>
      <w:r w:rsidR="00F93DBB" w:rsidRPr="009C258B">
        <w:t xml:space="preserve"> que imped</w:t>
      </w:r>
      <w:r w:rsidR="00992904" w:rsidRPr="009C258B">
        <w:t>iria</w:t>
      </w:r>
      <w:r w:rsidR="00F93DBB" w:rsidRPr="009C258B">
        <w:t xml:space="preserve"> uma análise genuinamente </w:t>
      </w:r>
      <w:r w:rsidR="00F93DBB" w:rsidRPr="009C258B">
        <w:rPr>
          <w:i/>
          <w:iCs/>
        </w:rPr>
        <w:t>imanentista</w:t>
      </w:r>
      <w:r w:rsidR="00F93DBB" w:rsidRPr="009C258B">
        <w:t xml:space="preserve"> do texto literário</w:t>
      </w:r>
      <w:r w:rsidR="006C4338" w:rsidRPr="009C258B">
        <w:t>.</w:t>
      </w:r>
      <w:r w:rsidR="00F93DBB" w:rsidRPr="009C258B">
        <w:t xml:space="preserve"> </w:t>
      </w:r>
    </w:p>
    <w:p w14:paraId="5BFC8109" w14:textId="2FE0B986" w:rsidR="00065F72" w:rsidRDefault="00F93DBB" w:rsidP="005F3E65">
      <w:r w:rsidRPr="009C258B">
        <w:t xml:space="preserve">Mais tarde, nos anos 30, </w:t>
      </w:r>
      <w:r w:rsidR="00065F72" w:rsidRPr="009C258B">
        <w:t>Benjamin fará</w:t>
      </w:r>
      <w:r w:rsidRPr="009C258B">
        <w:t xml:space="preserve"> um uso diferente do conceito, da</w:t>
      </w:r>
      <w:r w:rsidR="00065F72" w:rsidRPr="009C258B">
        <w:t>ndo</w:t>
      </w:r>
      <w:r w:rsidRPr="009C258B">
        <w:t xml:space="preserve"> a ele um</w:t>
      </w:r>
      <w:r w:rsidR="00065F72" w:rsidRPr="009C258B">
        <w:t>a espécie de</w:t>
      </w:r>
      <w:r w:rsidRPr="009C258B">
        <w:t xml:space="preserve"> valor </w:t>
      </w:r>
      <w:r w:rsidR="00A4008A" w:rsidRPr="009C258B">
        <w:t>“</w:t>
      </w:r>
      <w:r w:rsidRPr="009C258B">
        <w:t>operativo</w:t>
      </w:r>
      <w:r w:rsidR="00A4008A" w:rsidRPr="009C258B">
        <w:t>”</w:t>
      </w:r>
      <w:r w:rsidR="009A7E79" w:rsidRPr="009C258B">
        <w:t xml:space="preserve"> (</w:t>
      </w:r>
      <w:r w:rsidR="004D7518" w:rsidRPr="009C258B">
        <w:t xml:space="preserve">o </w:t>
      </w:r>
      <w:r w:rsidR="0015386D" w:rsidRPr="009C258B">
        <w:t xml:space="preserve">valor </w:t>
      </w:r>
      <w:r w:rsidR="004D7518" w:rsidRPr="009C258B">
        <w:t xml:space="preserve">de </w:t>
      </w:r>
      <w:r w:rsidR="009A7E79" w:rsidRPr="009C258B">
        <w:t>uma ferramenta para um diagnóstico)</w:t>
      </w:r>
      <w:r w:rsidR="00065F72" w:rsidRPr="009C258B">
        <w:t>. Isso será visível</w:t>
      </w:r>
      <w:r w:rsidRPr="009C258B">
        <w:t xml:space="preserve"> na primeira versão </w:t>
      </w:r>
      <w:r w:rsidR="009A7E79" w:rsidRPr="009C258B">
        <w:t xml:space="preserve">do mais importante texto </w:t>
      </w:r>
      <w:r w:rsidR="001A3288" w:rsidRPr="009C258B">
        <w:t xml:space="preserve">de Benjamin </w:t>
      </w:r>
      <w:r w:rsidR="009A7E79" w:rsidRPr="009C258B">
        <w:t>sobre</w:t>
      </w:r>
      <w:r w:rsidRPr="009C258B">
        <w:t xml:space="preserve"> Baudelaire</w:t>
      </w:r>
      <w:r w:rsidR="00F85E44" w:rsidRPr="009C258B">
        <w:t xml:space="preserve"> (</w:t>
      </w:r>
      <w:r w:rsidR="00992904" w:rsidRPr="009C258B">
        <w:t>“A Paris do Segundo Império em Baudelaire”, 1938</w:t>
      </w:r>
      <w:r w:rsidR="00F85E44" w:rsidRPr="009C258B">
        <w:t>)</w:t>
      </w:r>
      <w:bookmarkStart w:id="4" w:name="_Hlk125200935"/>
      <w:r w:rsidRPr="009C258B">
        <w:t xml:space="preserve">. </w:t>
      </w:r>
      <w:r w:rsidR="00065F72" w:rsidRPr="009C258B">
        <w:t>Trata-se da hermética noção de “empatia com a mercadoria”</w:t>
      </w:r>
      <w:r w:rsidR="00CF5B0C" w:rsidRPr="009C258B">
        <w:rPr>
          <w:rStyle w:val="Refdenotaderodap"/>
          <w:rFonts w:cs="Times New Roman"/>
          <w:szCs w:val="24"/>
        </w:rPr>
        <w:footnoteReference w:id="9"/>
      </w:r>
      <w:r w:rsidR="00AB796C">
        <w:t>,</w:t>
      </w:r>
      <w:r w:rsidR="00065F72" w:rsidRPr="009C258B">
        <w:t xml:space="preserve"> que será objeto de um debate epistolar com Adorno</w:t>
      </w:r>
      <w:r w:rsidR="00065F72" w:rsidRPr="009C258B">
        <w:rPr>
          <w:rStyle w:val="Refdenotaderodap"/>
          <w:rFonts w:cs="Times New Roman"/>
          <w:szCs w:val="24"/>
        </w:rPr>
        <w:footnoteReference w:id="10"/>
      </w:r>
      <w:r w:rsidR="00AB796C">
        <w:t>.</w:t>
      </w:r>
      <w:r w:rsidR="00CF5B0C" w:rsidRPr="009C258B">
        <w:t xml:space="preserve"> A segunda versão do texto, publicada em 1939 (“Sobre alguns motivos em Baudelaire”), não contém nenhuma referência à empatia.</w:t>
      </w:r>
    </w:p>
    <w:p w14:paraId="4688D24D" w14:textId="3221FD94" w:rsidR="009A7E79" w:rsidRPr="009C258B" w:rsidRDefault="00F93DBB" w:rsidP="005F3E65">
      <w:r w:rsidRPr="009C258B">
        <w:t xml:space="preserve">Por fim, </w:t>
      </w:r>
      <w:bookmarkEnd w:id="4"/>
      <w:r w:rsidRPr="009C258B">
        <w:t>Benjamin tratará do tema no lugar onde ele é mais</w:t>
      </w:r>
      <w:r w:rsidR="0015386D" w:rsidRPr="009C258B">
        <w:t xml:space="preserve"> relevante</w:t>
      </w:r>
      <w:r w:rsidRPr="009C258B">
        <w:t xml:space="preserve"> em sua obra: </w:t>
      </w:r>
      <w:r w:rsidR="00065F72" w:rsidRPr="009C258B">
        <w:t>nos dois principais ensaios sobre Brecht</w:t>
      </w:r>
      <w:r w:rsidR="002E3135" w:rsidRPr="009C258B">
        <w:t xml:space="preserve"> (“O que é teatro épico? Um estudo sobre Brecht”, 1931; “O que é teatro épico?</w:t>
      </w:r>
      <w:r w:rsidR="006C4338" w:rsidRPr="009C258B">
        <w:t>”</w:t>
      </w:r>
      <w:r w:rsidR="002E3135" w:rsidRPr="009C258B">
        <w:t>, 1939)</w:t>
      </w:r>
      <w:r w:rsidR="002E3135" w:rsidRPr="009C258B">
        <w:rPr>
          <w:rStyle w:val="Refdenotaderodap"/>
          <w:rFonts w:eastAsia="Calibri" w:cs="Times New Roman"/>
          <w:szCs w:val="24"/>
        </w:rPr>
        <w:footnoteReference w:id="11"/>
      </w:r>
      <w:r w:rsidR="00ED76FC">
        <w:t xml:space="preserve"> </w:t>
      </w:r>
      <w:r w:rsidR="00065F72" w:rsidRPr="009C258B">
        <w:t xml:space="preserve">e </w:t>
      </w:r>
      <w:r w:rsidRPr="009C258B">
        <w:t xml:space="preserve">na sétima tese </w:t>
      </w:r>
      <w:r w:rsidR="00992904" w:rsidRPr="009C258B">
        <w:t xml:space="preserve">do </w:t>
      </w:r>
      <w:r w:rsidR="00A7247D" w:rsidRPr="009C258B">
        <w:t>célebre manuscrito intitulado</w:t>
      </w:r>
      <w:r w:rsidRPr="009C258B">
        <w:t xml:space="preserve"> </w:t>
      </w:r>
      <w:r w:rsidRPr="009C258B">
        <w:rPr>
          <w:i/>
          <w:iCs/>
        </w:rPr>
        <w:t xml:space="preserve">Sobre o </w:t>
      </w:r>
      <w:r w:rsidRPr="009C258B">
        <w:rPr>
          <w:i/>
          <w:iCs/>
        </w:rPr>
        <w:lastRenderedPageBreak/>
        <w:t>conceito d</w:t>
      </w:r>
      <w:r w:rsidR="006C4338" w:rsidRPr="009C258B">
        <w:rPr>
          <w:i/>
          <w:iCs/>
        </w:rPr>
        <w:t>e</w:t>
      </w:r>
      <w:r w:rsidRPr="009C258B">
        <w:rPr>
          <w:i/>
          <w:iCs/>
        </w:rPr>
        <w:t xml:space="preserve"> história</w:t>
      </w:r>
      <w:r w:rsidRPr="009C258B">
        <w:t xml:space="preserve"> (1940), desenvolve</w:t>
      </w:r>
      <w:r w:rsidR="00600EBB" w:rsidRPr="009C258B">
        <w:t>ndo</w:t>
      </w:r>
      <w:r w:rsidRPr="009C258B">
        <w:t xml:space="preserve"> uma interpretação </w:t>
      </w:r>
      <w:r w:rsidR="002E3135" w:rsidRPr="009C258B">
        <w:t>estético-</w:t>
      </w:r>
      <w:r w:rsidRPr="009C258B">
        <w:t xml:space="preserve">política </w:t>
      </w:r>
      <w:r w:rsidR="003C4E17" w:rsidRPr="009C258B">
        <w:t>radical</w:t>
      </w:r>
      <w:r w:rsidRPr="009C258B">
        <w:t xml:space="preserve">mente </w:t>
      </w:r>
      <w:r w:rsidR="003C4E17" w:rsidRPr="009C258B">
        <w:t>crítica</w:t>
      </w:r>
      <w:r w:rsidRPr="009C258B">
        <w:t xml:space="preserve"> deste conceito</w:t>
      </w:r>
      <w:r w:rsidR="002E3135" w:rsidRPr="009C258B">
        <w:t xml:space="preserve"> (e ignorando</w:t>
      </w:r>
      <w:r w:rsidR="00AB13F9" w:rsidRPr="009C258B">
        <w:t>, novamente,</w:t>
      </w:r>
      <w:r w:rsidR="002E3135" w:rsidRPr="009C258B">
        <w:t xml:space="preserve"> o tema da “empatia com a mercadoria”).</w:t>
      </w:r>
    </w:p>
    <w:p w14:paraId="1F6011F7" w14:textId="5D09EAC2" w:rsidR="00F93DBB" w:rsidRPr="009C258B" w:rsidRDefault="00F93DBB" w:rsidP="005F3E65">
      <w:r w:rsidRPr="009C258B">
        <w:t xml:space="preserve">Como essa visão política da empatia surge pela primeira vez nos ensaios de Benjamin sobre Brecht, é </w:t>
      </w:r>
      <w:r w:rsidR="00A7247D" w:rsidRPr="009C258B">
        <w:t>d</w:t>
      </w:r>
      <w:r w:rsidRPr="009C258B">
        <w:t>esse ponto de sua obra que de</w:t>
      </w:r>
      <w:r w:rsidR="0036485B" w:rsidRPr="009C258B">
        <w:t>vemos</w:t>
      </w:r>
      <w:r w:rsidRPr="009C258B">
        <w:t xml:space="preserve"> </w:t>
      </w:r>
      <w:r w:rsidR="003C4E17" w:rsidRPr="009C258B">
        <w:t>partir</w:t>
      </w:r>
      <w:r w:rsidR="009A7E79" w:rsidRPr="009C258B">
        <w:t>, se quisermos encontrar</w:t>
      </w:r>
      <w:r w:rsidRPr="009C258B">
        <w:t xml:space="preserve"> o sentido do termo</w:t>
      </w:r>
      <w:r w:rsidR="00AB13F9" w:rsidRPr="009C258B">
        <w:t xml:space="preserve"> (“empatia”)</w:t>
      </w:r>
      <w:r w:rsidRPr="009C258B">
        <w:t xml:space="preserve"> que é mais relevante para o </w:t>
      </w:r>
      <w:r w:rsidR="0015386D" w:rsidRPr="009C258B">
        <w:t>pensamento benjaminiano</w:t>
      </w:r>
      <w:r w:rsidR="009A7E79" w:rsidRPr="009C258B">
        <w:t>.</w:t>
      </w:r>
      <w:r w:rsidR="00A7247D" w:rsidRPr="009C258B">
        <w:t xml:space="preserve"> Come</w:t>
      </w:r>
      <w:r w:rsidR="00600EBB" w:rsidRPr="009C258B">
        <w:t>c</w:t>
      </w:r>
      <w:r w:rsidR="003C4E17" w:rsidRPr="009C258B">
        <w:t>emo</w:t>
      </w:r>
      <w:r w:rsidR="00A7247D" w:rsidRPr="009C258B">
        <w:t>s, portanto, com a estética do teatro.</w:t>
      </w:r>
    </w:p>
    <w:p w14:paraId="3F71C09D" w14:textId="77777777" w:rsidR="00600EBB" w:rsidRPr="009C258B" w:rsidRDefault="00600EBB" w:rsidP="005F3E65">
      <w:pPr>
        <w:rPr>
          <w:rFonts w:eastAsia="Calibri" w:cs="Times New Roman"/>
          <w:szCs w:val="24"/>
        </w:rPr>
      </w:pPr>
    </w:p>
    <w:p w14:paraId="68FFBFAF" w14:textId="6CF6BDE4" w:rsidR="00600EBB" w:rsidRPr="009C258B" w:rsidRDefault="00600EBB" w:rsidP="00B92D01">
      <w:pPr>
        <w:pStyle w:val="Ttulo1"/>
      </w:pPr>
      <w:r w:rsidRPr="009C258B">
        <w:t>Uma crítica estético-política da empatia</w:t>
      </w:r>
    </w:p>
    <w:p w14:paraId="7F31C823" w14:textId="15780328" w:rsidR="00600EBB" w:rsidRPr="009C258B" w:rsidRDefault="00F93DBB" w:rsidP="005F3E65">
      <w:bookmarkStart w:id="7" w:name="_Hlk230515009"/>
      <w:r w:rsidRPr="009C258B">
        <w:t>A presença marcante da empatia na</w:t>
      </w:r>
      <w:r w:rsidR="00A7247D" w:rsidRPr="009C258B">
        <w:t>s discussões técnicas sobre o teatro</w:t>
      </w:r>
      <w:r w:rsidR="009A7E79" w:rsidRPr="009C258B">
        <w:t xml:space="preserve"> </w:t>
      </w:r>
      <w:r w:rsidRPr="009C258B">
        <w:t xml:space="preserve">é algo que poderia surpreender </w:t>
      </w:r>
      <w:r w:rsidR="007E0067" w:rsidRPr="009C258B">
        <w:t>alguns d</w:t>
      </w:r>
      <w:r w:rsidRPr="009C258B">
        <w:t xml:space="preserve">os primeiros autores citados neste </w:t>
      </w:r>
      <w:r w:rsidR="00A7247D" w:rsidRPr="009C258B">
        <w:t>artigo</w:t>
      </w:r>
      <w:r w:rsidRPr="009C258B">
        <w:t xml:space="preserve"> (</w:t>
      </w:r>
      <w:proofErr w:type="spellStart"/>
      <w:r w:rsidRPr="009C258B">
        <w:t>Lipps</w:t>
      </w:r>
      <w:proofErr w:type="spellEnd"/>
      <w:r w:rsidRPr="009C258B">
        <w:t>, Husserl</w:t>
      </w:r>
      <w:r w:rsidR="007E0067" w:rsidRPr="009C258B">
        <w:t xml:space="preserve"> e</w:t>
      </w:r>
      <w:r w:rsidRPr="009C258B">
        <w:t xml:space="preserve"> Stein)</w:t>
      </w:r>
      <w:r w:rsidR="007E0067" w:rsidRPr="009C258B">
        <w:t>. E</w:t>
      </w:r>
      <w:r w:rsidRPr="009C258B">
        <w:t xml:space="preserve">ntretanto, o campo teatral é decisivo para o nosso tema, pois a crítica brechtiana da </w:t>
      </w:r>
      <w:proofErr w:type="spellStart"/>
      <w:r w:rsidRPr="009C258B">
        <w:rPr>
          <w:i/>
          <w:iCs/>
        </w:rPr>
        <w:t>Einfühlung</w:t>
      </w:r>
      <w:proofErr w:type="spellEnd"/>
      <w:r w:rsidRPr="009C258B">
        <w:t xml:space="preserve"> foi </w:t>
      </w:r>
      <w:r w:rsidR="00A7247D" w:rsidRPr="009C258B">
        <w:t>o</w:t>
      </w:r>
      <w:r w:rsidRPr="009C258B">
        <w:t xml:space="preserve"> ponto de partida para a </w:t>
      </w:r>
      <w:r w:rsidR="007E0067" w:rsidRPr="009C258B">
        <w:t>T</w:t>
      </w:r>
      <w:r w:rsidRPr="009C258B">
        <w:t>ese VII de Benjamin</w:t>
      </w:r>
      <w:r w:rsidR="007E0067" w:rsidRPr="009C258B">
        <w:t>, preparando, portanto, o caminho para a sua</w:t>
      </w:r>
      <w:r w:rsidRPr="009C258B">
        <w:t xml:space="preserve"> recusa radical da empatia como</w:t>
      </w:r>
      <w:r w:rsidR="007E0067" w:rsidRPr="009C258B">
        <w:t xml:space="preserve"> fio condutor (“</w:t>
      </w:r>
      <w:r w:rsidR="003C4E17" w:rsidRPr="009C258B">
        <w:t>historicista</w:t>
      </w:r>
      <w:r w:rsidR="007E0067" w:rsidRPr="009C258B">
        <w:t>” ou “</w:t>
      </w:r>
      <w:r w:rsidR="008B10B9" w:rsidRPr="009C258B">
        <w:t>idealista</w:t>
      </w:r>
      <w:r w:rsidR="007E0067" w:rsidRPr="009C258B">
        <w:t>”) d</w:t>
      </w:r>
      <w:r w:rsidRPr="009C258B">
        <w:t xml:space="preserve">a escrita da história. </w:t>
      </w:r>
    </w:p>
    <w:p w14:paraId="6B496668" w14:textId="381DDEBD" w:rsidR="00600EBB" w:rsidRPr="00AB796C" w:rsidRDefault="00F93DBB" w:rsidP="005F3E65">
      <w:r w:rsidRPr="009C258B">
        <w:t xml:space="preserve">Talvez possamos </w:t>
      </w:r>
      <w:r w:rsidR="00600EBB" w:rsidRPr="009C258B">
        <w:t xml:space="preserve">até mesmo dizer (fazendo uma brevíssima digressão) </w:t>
      </w:r>
      <w:r w:rsidRPr="009C258B">
        <w:t>que a crítica de Brecht à empatia t</w:t>
      </w:r>
      <w:r w:rsidR="003C4E17" w:rsidRPr="009C258B">
        <w:t>enha tido</w:t>
      </w:r>
      <w:r w:rsidRPr="009C258B">
        <w:t xml:space="preserve"> um papel d</w:t>
      </w:r>
      <w:r w:rsidR="009B5E26" w:rsidRPr="009C258B">
        <w:t>uradouro</w:t>
      </w:r>
      <w:r w:rsidRPr="009C258B">
        <w:t xml:space="preserve"> no descrédito deste conceito na cultura estética alemã.</w:t>
      </w:r>
      <w:r w:rsidR="00600EBB" w:rsidRPr="009C258B">
        <w:t xml:space="preserve"> </w:t>
      </w:r>
      <w:r w:rsidR="007E0067" w:rsidRPr="009C258B">
        <w:t xml:space="preserve"> </w:t>
      </w:r>
      <w:r w:rsidR="009B5E26" w:rsidRPr="009C258B">
        <w:t>E que o</w:t>
      </w:r>
      <w:r w:rsidR="00600EBB" w:rsidRPr="009C258B">
        <w:t xml:space="preserve"> descr</w:t>
      </w:r>
      <w:r w:rsidR="00A66954">
        <w:t>é</w:t>
      </w:r>
      <w:r w:rsidR="00600EBB" w:rsidRPr="009C258B">
        <w:t>dito do conceito, por sua vez, po</w:t>
      </w:r>
      <w:r w:rsidR="009B5E26" w:rsidRPr="009C258B">
        <w:t>ssa</w:t>
      </w:r>
      <w:r w:rsidR="00600EBB" w:rsidRPr="009C258B">
        <w:t xml:space="preserve"> ter incidido sobre o descrédito da palavra, uma vez que hoje utiliza-se preferencialmente o termo </w:t>
      </w:r>
      <w:proofErr w:type="spellStart"/>
      <w:r w:rsidR="00600EBB" w:rsidRPr="009C258B">
        <w:rPr>
          <w:i/>
          <w:iCs/>
        </w:rPr>
        <w:t>Empathie</w:t>
      </w:r>
      <w:proofErr w:type="spellEnd"/>
      <w:r w:rsidR="00600EBB" w:rsidRPr="009C258B">
        <w:t xml:space="preserve">, traduzido do inglês </w:t>
      </w:r>
      <w:proofErr w:type="spellStart"/>
      <w:r w:rsidR="00600EBB" w:rsidRPr="009C258B">
        <w:rPr>
          <w:i/>
          <w:iCs/>
        </w:rPr>
        <w:t>empathy</w:t>
      </w:r>
      <w:proofErr w:type="spellEnd"/>
      <w:r w:rsidR="00600EBB" w:rsidRPr="009C258B">
        <w:t xml:space="preserve">, em vez de </w:t>
      </w:r>
      <w:proofErr w:type="spellStart"/>
      <w:r w:rsidR="00600EBB" w:rsidRPr="009C258B">
        <w:rPr>
          <w:i/>
          <w:iCs/>
        </w:rPr>
        <w:t>Einfühlung</w:t>
      </w:r>
      <w:proofErr w:type="spellEnd"/>
      <w:r w:rsidR="00600EBB" w:rsidRPr="009C258B">
        <w:t>, que tende a soar antiquado</w:t>
      </w:r>
      <w:r w:rsidR="00AA6D8B" w:rsidRPr="009C258B">
        <w:t>.</w:t>
      </w:r>
      <w:r w:rsidR="00600EBB" w:rsidRPr="009C258B">
        <w:t xml:space="preserve"> </w:t>
      </w:r>
      <w:r w:rsidR="009B5E26" w:rsidRPr="009C258B">
        <w:t>A</w:t>
      </w:r>
      <w:r w:rsidR="00600EBB" w:rsidRPr="009C258B">
        <w:t xml:space="preserve"> ironia da história</w:t>
      </w:r>
      <w:r w:rsidR="009B5E26" w:rsidRPr="009C258B">
        <w:t>, sempre implacável,</w:t>
      </w:r>
      <w:r w:rsidR="00600EBB" w:rsidRPr="009C258B">
        <w:t xml:space="preserve"> est</w:t>
      </w:r>
      <w:r w:rsidR="009B5E26" w:rsidRPr="009C258B">
        <w:t>aria então</w:t>
      </w:r>
      <w:r w:rsidR="00600EBB" w:rsidRPr="009C258B">
        <w:t xml:space="preserve"> no fato de que </w:t>
      </w:r>
      <w:proofErr w:type="spellStart"/>
      <w:r w:rsidR="00600EBB" w:rsidRPr="009C258B">
        <w:rPr>
          <w:i/>
          <w:iCs/>
        </w:rPr>
        <w:t>empathy</w:t>
      </w:r>
      <w:proofErr w:type="spellEnd"/>
      <w:r w:rsidR="00600EBB" w:rsidRPr="009C258B">
        <w:rPr>
          <w:i/>
          <w:iCs/>
        </w:rPr>
        <w:t xml:space="preserve"> </w:t>
      </w:r>
      <w:r w:rsidR="00600EBB" w:rsidRPr="009C258B">
        <w:t>foi um termo introduzido pelo psicólogo norte-americano E</w:t>
      </w:r>
      <w:r w:rsidR="008B10B9" w:rsidRPr="009C258B">
        <w:t>dward</w:t>
      </w:r>
      <w:r w:rsidR="00600EBB" w:rsidRPr="009C258B">
        <w:t xml:space="preserve"> </w:t>
      </w:r>
      <w:proofErr w:type="spellStart"/>
      <w:r w:rsidR="00600EBB" w:rsidRPr="009C258B">
        <w:t>Titchener</w:t>
      </w:r>
      <w:proofErr w:type="spellEnd"/>
      <w:r w:rsidR="00600EBB" w:rsidRPr="009C258B">
        <w:t xml:space="preserve"> </w:t>
      </w:r>
      <w:r w:rsidR="009B5E26" w:rsidRPr="009C258B">
        <w:t xml:space="preserve">justamente para </w:t>
      </w:r>
      <w:r w:rsidR="00600EBB" w:rsidRPr="009C258B">
        <w:t xml:space="preserve">traduzir </w:t>
      </w:r>
      <w:proofErr w:type="spellStart"/>
      <w:r w:rsidR="00600EBB" w:rsidRPr="009C258B">
        <w:rPr>
          <w:i/>
          <w:iCs/>
        </w:rPr>
        <w:t>Einfühlung</w:t>
      </w:r>
      <w:proofErr w:type="spellEnd"/>
      <w:r w:rsidR="00AA6D8B" w:rsidRPr="009C258B">
        <w:rPr>
          <w:rStyle w:val="Refdenotaderodap"/>
          <w:rFonts w:cs="Times New Roman"/>
          <w:szCs w:val="24"/>
        </w:rPr>
        <w:footnoteReference w:id="12"/>
      </w:r>
      <w:r w:rsidR="00AB796C">
        <w:rPr>
          <w:i/>
          <w:iCs/>
        </w:rPr>
        <w:t>.</w:t>
      </w:r>
    </w:p>
    <w:p w14:paraId="1C605210" w14:textId="3FFC1036" w:rsidR="00C9699C" w:rsidRPr="009C258B" w:rsidRDefault="00600EBB" w:rsidP="005F3E65">
      <w:r w:rsidRPr="009C258B">
        <w:t xml:space="preserve">De qualquer forma, </w:t>
      </w:r>
      <w:r w:rsidR="007E0067" w:rsidRPr="009C258B">
        <w:t>com relação a Benjamin, pode-se dizer com certeza que a proximidade com Brecht (com o ser humano e com as suas obras</w:t>
      </w:r>
      <w:r w:rsidR="007E0067" w:rsidRPr="009C258B">
        <w:rPr>
          <w:rStyle w:val="Refdenotaderodap"/>
          <w:rFonts w:eastAsia="Calibri" w:cs="Times New Roman"/>
          <w:szCs w:val="24"/>
        </w:rPr>
        <w:footnoteReference w:id="13"/>
      </w:r>
      <w:r w:rsidR="007E0067" w:rsidRPr="009C258B">
        <w:t xml:space="preserve">) foi o elemento decisivo na sua </w:t>
      </w:r>
      <w:r w:rsidR="009B5E26" w:rsidRPr="009C258B">
        <w:t>tentativa de</w:t>
      </w:r>
      <w:r w:rsidR="007E0067" w:rsidRPr="009C258B">
        <w:t xml:space="preserve"> politizar </w:t>
      </w:r>
      <w:r w:rsidRPr="009C258B">
        <w:t>esse</w:t>
      </w:r>
      <w:r w:rsidR="007E0067" w:rsidRPr="009C258B">
        <w:t xml:space="preserve"> conceito de forma </w:t>
      </w:r>
      <w:r w:rsidR="009B5E26" w:rsidRPr="009C258B">
        <w:t>radical</w:t>
      </w:r>
      <w:r w:rsidR="007E0067" w:rsidRPr="009C258B">
        <w:t>, transformando-o num dos principais alvos d</w:t>
      </w:r>
      <w:r w:rsidR="003C4E17" w:rsidRPr="009C258B">
        <w:t>e</w:t>
      </w:r>
      <w:r w:rsidR="007E0067" w:rsidRPr="009C258B">
        <w:t xml:space="preserve"> sua </w:t>
      </w:r>
      <w:r w:rsidRPr="009C258B">
        <w:t>crítica estética, política e epistemológica.</w:t>
      </w:r>
    </w:p>
    <w:p w14:paraId="58DF4E4F" w14:textId="4406B89D" w:rsidR="007E0067" w:rsidRPr="009C258B" w:rsidRDefault="009B5E26" w:rsidP="005F3E65">
      <w:r w:rsidRPr="009C258B">
        <w:t>Comecemos então com uma breve observação sobre a gênese da forma artística que Brecht denominou “teatro épico”, tendo em mente o fato fundamental de que é nesta proposta de uma nova cena teatral que Brecht elaborou pela primeira vez a sua recusa sistemática da empatia.</w:t>
      </w:r>
    </w:p>
    <w:p w14:paraId="60C8B2F8" w14:textId="50E5466F" w:rsidR="00C9699C" w:rsidRPr="009C258B" w:rsidRDefault="009B5E26" w:rsidP="005F3E65">
      <w:r w:rsidRPr="009C258B">
        <w:t xml:space="preserve">Lembremos, </w:t>
      </w:r>
      <w:proofErr w:type="gramStart"/>
      <w:r w:rsidRPr="009C258B">
        <w:t>antes de mais nada</w:t>
      </w:r>
      <w:proofErr w:type="gramEnd"/>
      <w:r w:rsidRPr="009C258B">
        <w:t>, que o teatro épico em si mesmo não é uma</w:t>
      </w:r>
      <w:r w:rsidR="00C9699C" w:rsidRPr="009C258B">
        <w:t xml:space="preserve"> invenção de Brecht, mas do encenador alemão Erwin </w:t>
      </w:r>
      <w:proofErr w:type="spellStart"/>
      <w:r w:rsidR="00C9699C" w:rsidRPr="009C258B">
        <w:t>Piscator</w:t>
      </w:r>
      <w:proofErr w:type="spellEnd"/>
      <w:r w:rsidR="00C9699C" w:rsidRPr="009C258B">
        <w:t xml:space="preserve">, e vejamos como justamente a recusa da </w:t>
      </w:r>
      <w:r w:rsidR="00C9699C" w:rsidRPr="009C258B">
        <w:lastRenderedPageBreak/>
        <w:t xml:space="preserve">empatia é um elemento que separa Brecht de </w:t>
      </w:r>
      <w:proofErr w:type="spellStart"/>
      <w:r w:rsidR="00C9699C" w:rsidRPr="009C258B">
        <w:t>Piscator</w:t>
      </w:r>
      <w:proofErr w:type="spellEnd"/>
      <w:r w:rsidR="00C9699C" w:rsidRPr="009C258B">
        <w:t xml:space="preserve">. </w:t>
      </w:r>
      <w:r w:rsidR="00AB13F9" w:rsidRPr="009C258B">
        <w:t xml:space="preserve">Como Brecht é bem mais conhecido que </w:t>
      </w:r>
      <w:proofErr w:type="spellStart"/>
      <w:r w:rsidR="00AB13F9" w:rsidRPr="009C258B">
        <w:t>Dilthey</w:t>
      </w:r>
      <w:proofErr w:type="spellEnd"/>
      <w:r w:rsidR="00AB13F9" w:rsidRPr="009C258B">
        <w:t>, faremos apenas um breve panorama do teatro épico.</w:t>
      </w:r>
    </w:p>
    <w:p w14:paraId="6AEED9E5" w14:textId="06CC03A5" w:rsidR="009C195F" w:rsidRPr="009C258B" w:rsidRDefault="00C9699C" w:rsidP="005F3E65">
      <w:r w:rsidRPr="009C258B">
        <w:t>Os historiadores d</w:t>
      </w:r>
      <w:r w:rsidR="004426F5" w:rsidRPr="009C258B">
        <w:t>a arte teatral</w:t>
      </w:r>
      <w:r w:rsidRPr="009C258B">
        <w:t xml:space="preserve"> costumam situar o marco inicial do teatro épico (no sentido estrito do termo) na montagem da peça </w:t>
      </w:r>
      <w:r w:rsidRPr="009C258B">
        <w:rPr>
          <w:i/>
          <w:iCs/>
        </w:rPr>
        <w:t>Bandeiras</w:t>
      </w:r>
      <w:r w:rsidRPr="009C258B">
        <w:t xml:space="preserve">, de Alfons </w:t>
      </w:r>
      <w:proofErr w:type="spellStart"/>
      <w:r w:rsidRPr="009C258B">
        <w:t>Paket</w:t>
      </w:r>
      <w:proofErr w:type="spellEnd"/>
      <w:r w:rsidRPr="009C258B">
        <w:t xml:space="preserve">, dirigida por </w:t>
      </w:r>
      <w:proofErr w:type="spellStart"/>
      <w:r w:rsidRPr="009C258B">
        <w:t>Piscator</w:t>
      </w:r>
      <w:proofErr w:type="spellEnd"/>
      <w:r w:rsidRPr="009C258B">
        <w:t xml:space="preserve"> em 1924</w:t>
      </w:r>
      <w:r w:rsidR="004426F5" w:rsidRPr="009C258B">
        <w:t xml:space="preserve">, </w:t>
      </w:r>
      <w:r w:rsidRPr="009C258B">
        <w:t>no Volksbühne, em Berlim</w:t>
      </w:r>
      <w:r w:rsidR="00AA6D8B" w:rsidRPr="009C258B">
        <w:rPr>
          <w:rStyle w:val="Refdenotaderodap"/>
          <w:rFonts w:eastAsia="Calibri" w:cs="Times New Roman"/>
          <w:szCs w:val="24"/>
        </w:rPr>
        <w:footnoteReference w:id="14"/>
      </w:r>
      <w:r w:rsidR="00AB796C">
        <w:t>.</w:t>
      </w:r>
      <w:r w:rsidR="00AA6D8B" w:rsidRPr="009C258B">
        <w:t xml:space="preserve"> </w:t>
      </w:r>
      <w:r w:rsidR="00F93DBB" w:rsidRPr="009C258B">
        <w:t xml:space="preserve">Nessa encenação, o uso de projeções de </w:t>
      </w:r>
      <w:r w:rsidR="004B5E58" w:rsidRPr="009C258B">
        <w:t>fotografias</w:t>
      </w:r>
      <w:r w:rsidR="00F93DBB" w:rsidRPr="009C258B">
        <w:t xml:space="preserve"> e filmes</w:t>
      </w:r>
      <w:r w:rsidR="004426F5" w:rsidRPr="009C258B">
        <w:t>, de cartazes e letreiros projetados, de música e sons variados</w:t>
      </w:r>
      <w:r w:rsidR="00F93DBB" w:rsidRPr="009C258B">
        <w:t xml:space="preserve"> funcionava como um comentário</w:t>
      </w:r>
      <w:r w:rsidR="0026122A" w:rsidRPr="009C258B">
        <w:t xml:space="preserve"> narrativo</w:t>
      </w:r>
      <w:r w:rsidR="00F93DBB" w:rsidRPr="009C258B">
        <w:t xml:space="preserve"> à ação, introduzindo </w:t>
      </w:r>
      <w:r w:rsidR="0026122A" w:rsidRPr="009C258B">
        <w:t>um</w:t>
      </w:r>
      <w:r w:rsidR="00F93DBB" w:rsidRPr="009C258B">
        <w:t xml:space="preserve"> elemento de perturbação da ilusão estética </w:t>
      </w:r>
      <w:r w:rsidR="004B5E58" w:rsidRPr="009C258B">
        <w:t>naturalista</w:t>
      </w:r>
      <w:r w:rsidR="00F93DBB" w:rsidRPr="009C258B">
        <w:t xml:space="preserve">. </w:t>
      </w:r>
      <w:r w:rsidR="0026122A" w:rsidRPr="009C258B">
        <w:t xml:space="preserve">Essa </w:t>
      </w:r>
      <w:r w:rsidR="00DC4B24" w:rsidRPr="009C258B">
        <w:t>postura re</w:t>
      </w:r>
      <w:r w:rsidR="0026122A" w:rsidRPr="009C258B">
        <w:t>presentava certamente</w:t>
      </w:r>
      <w:r w:rsidR="00F93DBB" w:rsidRPr="009C258B">
        <w:t xml:space="preserve"> uma subversão formal, se compararmos esse teatro com o que o precede, mas </w:t>
      </w:r>
      <w:proofErr w:type="spellStart"/>
      <w:r w:rsidR="00F93DBB" w:rsidRPr="009C258B">
        <w:t>Piscator</w:t>
      </w:r>
      <w:proofErr w:type="spellEnd"/>
      <w:r w:rsidR="00F93DBB" w:rsidRPr="009C258B">
        <w:t xml:space="preserve"> pretend</w:t>
      </w:r>
      <w:r w:rsidR="00DC4B24" w:rsidRPr="009C258B">
        <w:t>ia ainda</w:t>
      </w:r>
      <w:r w:rsidR="00F93DBB" w:rsidRPr="009C258B">
        <w:t xml:space="preserve"> </w:t>
      </w:r>
      <w:r w:rsidR="00F93DBB" w:rsidRPr="009C258B">
        <w:rPr>
          <w:i/>
          <w:iCs/>
        </w:rPr>
        <w:t>entusiasmar</w:t>
      </w:r>
      <w:r w:rsidR="00F93DBB" w:rsidRPr="009C258B">
        <w:t xml:space="preserve"> o espectador, cria</w:t>
      </w:r>
      <w:r w:rsidR="0026122A" w:rsidRPr="009C258B">
        <w:t>ndo</w:t>
      </w:r>
      <w:r w:rsidR="00F93DBB" w:rsidRPr="009C258B">
        <w:t xml:space="preserve"> uma conexão </w:t>
      </w:r>
      <w:r w:rsidR="00F93DBB" w:rsidRPr="009C258B">
        <w:rPr>
          <w:i/>
          <w:iCs/>
        </w:rPr>
        <w:t>emocional</w:t>
      </w:r>
      <w:r w:rsidR="00F93DBB" w:rsidRPr="009C258B">
        <w:t xml:space="preserve"> entre a obra e o seu público</w:t>
      </w:r>
      <w:r w:rsidR="003A40F5" w:rsidRPr="009C258B">
        <w:t xml:space="preserve">, </w:t>
      </w:r>
      <w:r w:rsidR="0026122A" w:rsidRPr="009C258B">
        <w:t>tendo em vista</w:t>
      </w:r>
      <w:r w:rsidRPr="009C258B">
        <w:t>, essencialmente,</w:t>
      </w:r>
      <w:r w:rsidR="0026122A" w:rsidRPr="009C258B">
        <w:t xml:space="preserve"> o significado político da ação</w:t>
      </w:r>
      <w:r w:rsidR="00AB32F8" w:rsidRPr="009C258B">
        <w:t xml:space="preserve"> cênica.</w:t>
      </w:r>
      <w:r w:rsidR="00F93DBB" w:rsidRPr="009C258B">
        <w:t xml:space="preserve"> </w:t>
      </w:r>
      <w:r w:rsidR="004B5E58" w:rsidRPr="009C258B">
        <w:t>N</w:t>
      </w:r>
      <w:r w:rsidR="00F93DBB" w:rsidRPr="009C258B">
        <w:t xml:space="preserve">esse sentido, </w:t>
      </w:r>
      <w:r w:rsidR="004B5E58" w:rsidRPr="009C258B">
        <w:t xml:space="preserve">pode-se </w:t>
      </w:r>
      <w:r w:rsidR="0026122A" w:rsidRPr="009C258B">
        <w:t>dizer</w:t>
      </w:r>
      <w:r w:rsidR="004B5E58" w:rsidRPr="009C258B">
        <w:t xml:space="preserve"> que </w:t>
      </w:r>
      <w:proofErr w:type="spellStart"/>
      <w:r w:rsidR="004B5E58" w:rsidRPr="009C258B">
        <w:t>Piscator</w:t>
      </w:r>
      <w:proofErr w:type="spellEnd"/>
      <w:r w:rsidR="00F93DBB" w:rsidRPr="009C258B">
        <w:t xml:space="preserve"> rompe apenas </w:t>
      </w:r>
      <w:r w:rsidR="00F93DBB" w:rsidRPr="009C258B">
        <w:rPr>
          <w:i/>
          <w:iCs/>
        </w:rPr>
        <w:t>parcialmente</w:t>
      </w:r>
      <w:r w:rsidR="00F93DBB" w:rsidRPr="009C258B">
        <w:t xml:space="preserve"> com a estética do naturalismo</w:t>
      </w:r>
      <w:r w:rsidR="004B5E58" w:rsidRPr="009C258B">
        <w:t xml:space="preserve"> e que essa</w:t>
      </w:r>
      <w:r w:rsidR="00F93DBB" w:rsidRPr="009C258B">
        <w:t xml:space="preserve"> necessidade de conexão emocional será um fator de divergência em relação a Brecht, quando e</w:t>
      </w:r>
      <w:r w:rsidR="004B5E58" w:rsidRPr="009C258B">
        <w:t xml:space="preserve">ste </w:t>
      </w:r>
      <w:r w:rsidR="00F93DBB" w:rsidRPr="009C258B">
        <w:t>começar a construir a sua própria versão do teatro épico.</w:t>
      </w:r>
    </w:p>
    <w:p w14:paraId="67A849F3" w14:textId="5BB472F5" w:rsidR="00F7599E" w:rsidRPr="009C258B" w:rsidRDefault="009C195F" w:rsidP="005F3E65">
      <w:r w:rsidRPr="009C258B">
        <w:t>Brecht usará essas mesmas técnicas “narrativas” e de distanciamento/estranhamento (</w:t>
      </w:r>
      <w:proofErr w:type="spellStart"/>
      <w:r w:rsidRPr="009C258B">
        <w:rPr>
          <w:i/>
          <w:iCs/>
        </w:rPr>
        <w:t>Verfremdung</w:t>
      </w:r>
      <w:proofErr w:type="spellEnd"/>
      <w:r w:rsidRPr="009C258B">
        <w:t>),</w:t>
      </w:r>
      <w:r w:rsidR="00F93DBB" w:rsidRPr="009C258B">
        <w:t xml:space="preserve"> que ele </w:t>
      </w:r>
      <w:r w:rsidR="0026122A" w:rsidRPr="009C258B">
        <w:t>sempre</w:t>
      </w:r>
      <w:r w:rsidR="00F93DBB" w:rsidRPr="009C258B">
        <w:t xml:space="preserve"> reconhece serem uma invenção de </w:t>
      </w:r>
      <w:proofErr w:type="spellStart"/>
      <w:r w:rsidR="00F93DBB" w:rsidRPr="009C258B">
        <w:t>Piscator</w:t>
      </w:r>
      <w:proofErr w:type="spellEnd"/>
      <w:r w:rsidR="00F93DBB" w:rsidRPr="009C258B">
        <w:t xml:space="preserve">, mas </w:t>
      </w:r>
      <w:r w:rsidR="004B5E58" w:rsidRPr="009C258B">
        <w:t>ele as utiliza tendo em vista um</w:t>
      </w:r>
      <w:r w:rsidR="00F93DBB" w:rsidRPr="009C258B">
        <w:t xml:space="preserve"> objetivo inteiramente distinto: trata-se de colocar o espectador numa posição crítica</w:t>
      </w:r>
      <w:r w:rsidR="004B5E58" w:rsidRPr="009C258B">
        <w:t xml:space="preserve"> </w:t>
      </w:r>
      <w:r w:rsidR="00F7462C" w:rsidRPr="009C258B">
        <w:t>e reflexiva,</w:t>
      </w:r>
      <w:r w:rsidR="004B5E58" w:rsidRPr="009C258B">
        <w:t xml:space="preserve"> </w:t>
      </w:r>
      <w:r w:rsidR="00F93DBB" w:rsidRPr="009C258B">
        <w:t xml:space="preserve">rompendo com </w:t>
      </w:r>
      <w:r w:rsidR="004D1B63" w:rsidRPr="009C258B">
        <w:t xml:space="preserve">a </w:t>
      </w:r>
      <w:r w:rsidR="00F93DBB" w:rsidRPr="009C258B">
        <w:t>identificação emocional</w:t>
      </w:r>
      <w:r w:rsidR="00F7462C" w:rsidRPr="009C258B">
        <w:t xml:space="preserve"> com aquilo que acontece no palco.</w:t>
      </w:r>
      <w:r w:rsidR="00F93DBB" w:rsidRPr="009C258B">
        <w:t xml:space="preserve"> </w:t>
      </w:r>
      <w:r w:rsidR="0026122A" w:rsidRPr="009C258B">
        <w:t>Utilizando uma linguagem filosófica, podemos dizer</w:t>
      </w:r>
      <w:r w:rsidR="00B751F6" w:rsidRPr="009C258B">
        <w:t xml:space="preserve"> que a posição de </w:t>
      </w:r>
      <w:proofErr w:type="spellStart"/>
      <w:r w:rsidR="00B751F6" w:rsidRPr="009C258B">
        <w:t>Piscator</w:t>
      </w:r>
      <w:proofErr w:type="spellEnd"/>
      <w:r w:rsidR="00B751F6" w:rsidRPr="009C258B">
        <w:t xml:space="preserve"> </w:t>
      </w:r>
      <w:r w:rsidR="003952F4" w:rsidRPr="009C258B">
        <w:t>seria</w:t>
      </w:r>
      <w:r w:rsidR="00B751F6" w:rsidRPr="009C258B">
        <w:t xml:space="preserve"> “sofística”, já que ele visa </w:t>
      </w:r>
      <w:r w:rsidR="003952F4" w:rsidRPr="009C258B">
        <w:t>à</w:t>
      </w:r>
      <w:r w:rsidR="00B751F6" w:rsidRPr="009C258B">
        <w:t xml:space="preserve"> persuasão, enquanto a posição de Brecht </w:t>
      </w:r>
      <w:r w:rsidR="003952F4" w:rsidRPr="009C258B">
        <w:t>seria</w:t>
      </w:r>
      <w:r w:rsidR="00B751F6" w:rsidRPr="009C258B">
        <w:t xml:space="preserve"> “socrática”, já que ele visa </w:t>
      </w:r>
      <w:r w:rsidR="003952F4" w:rsidRPr="009C258B">
        <w:t>à</w:t>
      </w:r>
      <w:r w:rsidR="00B751F6" w:rsidRPr="009C258B">
        <w:t xml:space="preserve"> </w:t>
      </w:r>
      <w:r w:rsidR="00A36086" w:rsidRPr="009C258B">
        <w:t>interrogação</w:t>
      </w:r>
      <w:r w:rsidR="00B751F6" w:rsidRPr="009C258B">
        <w:t xml:space="preserve"> </w:t>
      </w:r>
      <w:r w:rsidR="003952F4" w:rsidRPr="009C258B">
        <w:t xml:space="preserve">sobre o </w:t>
      </w:r>
      <w:r w:rsidR="004D1B63" w:rsidRPr="009C258B">
        <w:t>desenvolvimento da cena.</w:t>
      </w:r>
      <w:r w:rsidR="00E078A8" w:rsidRPr="009C258B">
        <w:t xml:space="preserve"> </w:t>
      </w:r>
      <w:r w:rsidR="004972A5" w:rsidRPr="009C258B">
        <w:t xml:space="preserve">Isso </w:t>
      </w:r>
      <w:r w:rsidR="00D20381" w:rsidRPr="009C258B">
        <w:t>pode ser feito (pelo menos quanto ao “socratismo” de Brecht) a partir de uma página decisiva</w:t>
      </w:r>
      <w:r w:rsidR="004972A5" w:rsidRPr="009C258B">
        <w:t xml:space="preserve"> </w:t>
      </w:r>
      <w:r w:rsidR="008F72B0" w:rsidRPr="009C258B">
        <w:t>do</w:t>
      </w:r>
      <w:r w:rsidR="00B25D35" w:rsidRPr="009C258B">
        <w:t xml:space="preserve"> primeiro d</w:t>
      </w:r>
      <w:r w:rsidR="008F72B0" w:rsidRPr="009C258B">
        <w:t>os</w:t>
      </w:r>
      <w:r w:rsidR="00B25D35" w:rsidRPr="009C258B">
        <w:t xml:space="preserve"> dois principais estudos</w:t>
      </w:r>
      <w:r w:rsidRPr="009C258B">
        <w:t xml:space="preserve"> de Benjamin</w:t>
      </w:r>
      <w:r w:rsidR="00B25D35" w:rsidRPr="009C258B">
        <w:t xml:space="preserve"> sobre Brecht (</w:t>
      </w:r>
      <w:r w:rsidR="008F72B0" w:rsidRPr="009C258B">
        <w:t>“O que é teatro épico? Um estudo sobre Brecht”, 1931).</w:t>
      </w:r>
      <w:r w:rsidR="00D20381" w:rsidRPr="009C258B">
        <w:t xml:space="preserve"> Uma passagem que contém</w:t>
      </w:r>
      <w:r w:rsidR="004972A5" w:rsidRPr="009C258B">
        <w:t xml:space="preserve"> inclusive uma referência implícita ao </w:t>
      </w:r>
      <w:proofErr w:type="spellStart"/>
      <w:r w:rsidR="004972A5" w:rsidRPr="009C258B">
        <w:rPr>
          <w:i/>
          <w:iCs/>
        </w:rPr>
        <w:t>thaum</w:t>
      </w:r>
      <w:r w:rsidR="00DF3D57" w:rsidRPr="009C258B">
        <w:rPr>
          <w:i/>
          <w:iCs/>
        </w:rPr>
        <w:t>á</w:t>
      </w:r>
      <w:r w:rsidR="00D20381" w:rsidRPr="009C258B">
        <w:rPr>
          <w:i/>
          <w:iCs/>
        </w:rPr>
        <w:t>zein</w:t>
      </w:r>
      <w:proofErr w:type="spellEnd"/>
      <w:r w:rsidR="004972A5" w:rsidRPr="009C258B">
        <w:t xml:space="preserve"> (</w:t>
      </w:r>
      <w:r w:rsidR="00B25D35" w:rsidRPr="009C258B">
        <w:t>“</w:t>
      </w:r>
      <w:r w:rsidR="004972A5" w:rsidRPr="009C258B">
        <w:t>espant</w:t>
      </w:r>
      <w:r w:rsidR="00B25D35" w:rsidRPr="009C258B">
        <w:t>ar-se”</w:t>
      </w:r>
      <w:r w:rsidR="008200E9" w:rsidRPr="009C258B">
        <w:t>, “admirar-se”</w:t>
      </w:r>
      <w:r w:rsidR="004972A5" w:rsidRPr="009C258B">
        <w:t>)</w:t>
      </w:r>
      <w:r w:rsidR="00454E83" w:rsidRPr="009C258B">
        <w:t xml:space="preserve"> </w:t>
      </w:r>
      <w:r w:rsidR="00BC2005" w:rsidRPr="009C258B">
        <w:t>que tanto Platão quanto Aristóteles dizem estar na origem da filosofia</w:t>
      </w:r>
      <w:r w:rsidR="00C86744" w:rsidRPr="009C258B">
        <w:t>.</w:t>
      </w:r>
      <w:r w:rsidR="008200E9" w:rsidRPr="009C258B">
        <w:rPr>
          <w:rStyle w:val="Refdenotaderodap"/>
          <w:rFonts w:eastAsia="Calibri" w:cs="Times New Roman"/>
          <w:szCs w:val="24"/>
        </w:rPr>
        <w:footnoteReference w:id="15"/>
      </w:r>
      <w:r w:rsidR="00454E83" w:rsidRPr="009C258B">
        <w:t xml:space="preserve"> </w:t>
      </w:r>
      <w:r w:rsidR="008200E9" w:rsidRPr="009C258B">
        <w:t>Nas palavras de Benjamin</w:t>
      </w:r>
      <w:r w:rsidR="00F7599E" w:rsidRPr="009C258B">
        <w:t>:</w:t>
      </w:r>
    </w:p>
    <w:p w14:paraId="00A84268" w14:textId="54AE6A26" w:rsidR="004972A5" w:rsidRPr="009C258B" w:rsidRDefault="004D1B63" w:rsidP="006077B4">
      <w:pPr>
        <w:pStyle w:val="Citao"/>
      </w:pPr>
      <w:r w:rsidRPr="009C258B">
        <w:t xml:space="preserve">O palco naturalista [...] é um palco totalmente ilusório. Sua própria consciência de ser teatro não pode torná-lo frutífero; ele tem de reprimi-la, para poder dedicar-se sem desvios ao seu fim: representar a realidade. O teatro </w:t>
      </w:r>
      <w:r w:rsidRPr="009C258B">
        <w:lastRenderedPageBreak/>
        <w:t>épico, ao contrário, mantém ininterruptamente uma consciência viva e produtiva de ser teatro. Essa consciência permite que ele trate os elementos do real no sentido de um ordenamento experimental [</w:t>
      </w:r>
      <w:proofErr w:type="spellStart"/>
      <w:r w:rsidRPr="009C258B">
        <w:rPr>
          <w:i/>
        </w:rPr>
        <w:t>Versuchsanordnung</w:t>
      </w:r>
      <w:proofErr w:type="spellEnd"/>
      <w:r w:rsidRPr="009C258B">
        <w:t>]</w:t>
      </w:r>
      <w:r w:rsidR="00F7599E" w:rsidRPr="009C258B">
        <w:t>,</w:t>
      </w:r>
      <w:r w:rsidRPr="009C258B">
        <w:t xml:space="preserve"> e as situações estão no final, não no início, desse experimento [</w:t>
      </w:r>
      <w:proofErr w:type="spellStart"/>
      <w:r w:rsidRPr="009C258B">
        <w:rPr>
          <w:i/>
        </w:rPr>
        <w:t>Versuch</w:t>
      </w:r>
      <w:proofErr w:type="spellEnd"/>
      <w:r w:rsidRPr="009C258B">
        <w:t>]. Elas não são, portanto, aproximadas do espectador, mas sim afastadas dele. Ele as reconhece como situações verdadeiras, não, como no teatro do naturalismo, com complacência, mas antes com espanto. Com este espanto</w:t>
      </w:r>
      <w:r w:rsidR="00C86744" w:rsidRPr="009C258B">
        <w:t xml:space="preserve"> [</w:t>
      </w:r>
      <w:proofErr w:type="spellStart"/>
      <w:r w:rsidR="00C86744" w:rsidRPr="009C258B">
        <w:rPr>
          <w:i/>
        </w:rPr>
        <w:t>Staunen</w:t>
      </w:r>
      <w:proofErr w:type="spellEnd"/>
      <w:r w:rsidR="00C86744" w:rsidRPr="009C258B">
        <w:t>]</w:t>
      </w:r>
      <w:r w:rsidRPr="009C258B">
        <w:t xml:space="preserve"> o teatro épico honra uma práxis socrática de maneira firme e pura. O interesse é despertado naquele que se espantou;</w:t>
      </w:r>
      <w:r w:rsidR="00F86776" w:rsidRPr="009C258B">
        <w:t xml:space="preserve"> </w:t>
      </w:r>
      <w:r w:rsidRPr="009C258B">
        <w:t>unicamente nele está o interesse em sua origem (Benjamin, 1991b,</w:t>
      </w:r>
      <w:r w:rsidR="00A531EC" w:rsidRPr="009C258B">
        <w:t xml:space="preserve"> p</w:t>
      </w:r>
      <w:r w:rsidRPr="009C258B">
        <w:t>.</w:t>
      </w:r>
      <w:r w:rsidR="00A531EC" w:rsidRPr="009C258B">
        <w:t xml:space="preserve"> </w:t>
      </w:r>
      <w:r w:rsidRPr="009C258B">
        <w:t>521-522)</w:t>
      </w:r>
      <w:r w:rsidR="000332C2" w:rsidRPr="009C258B">
        <w:rPr>
          <w:rStyle w:val="Refdenotaderodap"/>
          <w:rFonts w:cs="Times New Roman"/>
        </w:rPr>
        <w:footnoteReference w:id="16"/>
      </w:r>
      <w:r w:rsidR="00AB796C">
        <w:t>.</w:t>
      </w:r>
    </w:p>
    <w:p w14:paraId="281FC1D4" w14:textId="61468DB6" w:rsidR="00B25D35" w:rsidRPr="009C258B" w:rsidRDefault="00B25D35" w:rsidP="005F3E65">
      <w:pPr>
        <w:rPr>
          <w:sz w:val="20"/>
          <w:szCs w:val="20"/>
        </w:rPr>
      </w:pPr>
      <w:r w:rsidRPr="009C258B">
        <w:t xml:space="preserve">Infelizmente, Benjamin não desenvolve esse “socratismo” de Brecht. Mas, no mesmo </w:t>
      </w:r>
      <w:r w:rsidR="000C4CAE" w:rsidRPr="009C258B">
        <w:t>ensaio</w:t>
      </w:r>
      <w:r w:rsidRPr="009C258B">
        <w:t>,</w:t>
      </w:r>
      <w:r w:rsidR="009A671F" w:rsidRPr="009C258B">
        <w:t xml:space="preserve"> ele fala de uma “via secreta” que liga o teatro épico ao diálogo socrático, passando pelos relatos da paixão de Cristo, pelo teatro medieval e pelo classicismo francês</w:t>
      </w:r>
      <w:r w:rsidR="00F56DC4" w:rsidRPr="009C258B">
        <w:rPr>
          <w:rStyle w:val="Refdenotaderodap"/>
          <w:rFonts w:eastAsia="Calibri" w:cs="Times New Roman"/>
          <w:szCs w:val="24"/>
        </w:rPr>
        <w:footnoteReference w:id="17"/>
      </w:r>
      <w:r w:rsidR="00AB796C">
        <w:t>.</w:t>
      </w:r>
      <w:r w:rsidR="009A671F" w:rsidRPr="009C258B">
        <w:t xml:space="preserve"> </w:t>
      </w:r>
    </w:p>
    <w:p w14:paraId="60D6763D" w14:textId="422B294B" w:rsidR="009A671F" w:rsidRPr="009C258B" w:rsidRDefault="00735152" w:rsidP="005F3E65">
      <w:r w:rsidRPr="009C258B">
        <w:t>Para esclarecer</w:t>
      </w:r>
      <w:r w:rsidR="008A09B0" w:rsidRPr="009C258B">
        <w:t xml:space="preserve"> </w:t>
      </w:r>
      <w:r w:rsidR="00E141E4" w:rsidRPr="009C258B">
        <w:t>esse</w:t>
      </w:r>
      <w:r w:rsidR="008A09B0" w:rsidRPr="009C258B">
        <w:t xml:space="preserve"> elemento conservador (esteticamente falando) do teatro de </w:t>
      </w:r>
      <w:proofErr w:type="spellStart"/>
      <w:r w:rsidR="008A09B0" w:rsidRPr="009C258B">
        <w:t>Piscator</w:t>
      </w:r>
      <w:proofErr w:type="spellEnd"/>
      <w:r w:rsidR="008A09B0" w:rsidRPr="009C258B">
        <w:t>, pode-se recorrer à síntese apresentada po</w:t>
      </w:r>
      <w:r w:rsidR="00A36086" w:rsidRPr="009C258B">
        <w:t>r um interessante estudo comparativo:</w:t>
      </w:r>
      <w:r w:rsidR="009A671F" w:rsidRPr="009C258B">
        <w:t xml:space="preserve"> </w:t>
      </w:r>
    </w:p>
    <w:p w14:paraId="463A798B" w14:textId="55769704" w:rsidR="00C02225" w:rsidRPr="009C258B" w:rsidRDefault="009A671F" w:rsidP="006077B4">
      <w:pPr>
        <w:pStyle w:val="Citao"/>
      </w:pPr>
      <w:r w:rsidRPr="009C258B">
        <w:t xml:space="preserve">Embora </w:t>
      </w:r>
      <w:proofErr w:type="spellStart"/>
      <w:r w:rsidRPr="009C258B">
        <w:t>P</w:t>
      </w:r>
      <w:r w:rsidR="00C02225" w:rsidRPr="009C258B">
        <w:t>is</w:t>
      </w:r>
      <w:r w:rsidRPr="009C258B">
        <w:t>c</w:t>
      </w:r>
      <w:r w:rsidR="00C02225" w:rsidRPr="009C258B">
        <w:t>a</w:t>
      </w:r>
      <w:r w:rsidRPr="009C258B">
        <w:t>tor</w:t>
      </w:r>
      <w:proofErr w:type="spellEnd"/>
      <w:r w:rsidRPr="009C258B">
        <w:t xml:space="preserve"> procure desde o in</w:t>
      </w:r>
      <w:r w:rsidR="00C02225" w:rsidRPr="009C258B">
        <w:t>í</w:t>
      </w:r>
      <w:r w:rsidRPr="009C258B">
        <w:t>cio persuadir o p</w:t>
      </w:r>
      <w:r w:rsidR="00C02225" w:rsidRPr="009C258B">
        <w:t>úblico</w:t>
      </w:r>
      <w:r w:rsidRPr="009C258B">
        <w:t xml:space="preserve"> por mei</w:t>
      </w:r>
      <w:r w:rsidR="00C02225" w:rsidRPr="009C258B">
        <w:t>o</w:t>
      </w:r>
      <w:r w:rsidRPr="009C258B">
        <w:t xml:space="preserve"> dos fatos e est</w:t>
      </w:r>
      <w:r w:rsidR="00C02225" w:rsidRPr="009C258B">
        <w:t>ados</w:t>
      </w:r>
      <w:r w:rsidRPr="009C258B">
        <w:t xml:space="preserve"> de coisa apresentados, voltando-se assim diretamente para o entendimento do p</w:t>
      </w:r>
      <w:r w:rsidR="00C02225" w:rsidRPr="009C258B">
        <w:t>úblico, ele nunca exclui das suas encenações a qualidade convencional da empatia e da tensão. Depois de persuadir o espectador da justeza do seu ponto de vista por meio de uma multiplicidade de fatos, o espectador podia ser entusiasticamente levado à intervenção ativa em favor do proletariado, por meio da intensificação emocional e da tensão (</w:t>
      </w:r>
      <w:proofErr w:type="spellStart"/>
      <w:r w:rsidR="00C02225" w:rsidRPr="009C258B">
        <w:t>Buehler</w:t>
      </w:r>
      <w:proofErr w:type="spellEnd"/>
      <w:r w:rsidR="00C02225" w:rsidRPr="009C258B">
        <w:t>, 1978, p. 70).</w:t>
      </w:r>
    </w:p>
    <w:p w14:paraId="6B345327" w14:textId="21AB01DE" w:rsidR="00403E75" w:rsidRPr="009C258B" w:rsidRDefault="00501933" w:rsidP="005F3E65">
      <w:r w:rsidRPr="009C258B">
        <w:t>A teoria brechtiana do teatro épico inova, portanto, ao desenvolver uma recusa sistemática da identificação afetiva entre palco e plateia, colocando s</w:t>
      </w:r>
      <w:r w:rsidR="00C15D8A">
        <w:t>o</w:t>
      </w:r>
      <w:r w:rsidRPr="009C258B">
        <w:t>b suspeição categorias clássicas da estética (tanto antiga quanto moderna) como “catarse”, “comoção” e “contemplação”.</w:t>
      </w:r>
      <w:r w:rsidR="00403E75" w:rsidRPr="009C258B">
        <w:t xml:space="preserve"> Com essa ruptura, Brecht dá início a </w:t>
      </w:r>
      <w:r w:rsidR="00F93DBB" w:rsidRPr="009C258B">
        <w:t>uma estética que ele chamava</w:t>
      </w:r>
      <w:r w:rsidR="00403E75" w:rsidRPr="009C258B">
        <w:t xml:space="preserve"> </w:t>
      </w:r>
      <w:r w:rsidR="00F93DBB" w:rsidRPr="009C258B">
        <w:t xml:space="preserve">de “não-aristotélica” (dentre outras coisas, porque ela era </w:t>
      </w:r>
      <w:proofErr w:type="spellStart"/>
      <w:r w:rsidR="00F93DBB" w:rsidRPr="009C258B">
        <w:t>anticatártica</w:t>
      </w:r>
      <w:proofErr w:type="spellEnd"/>
      <w:r w:rsidR="00F93DBB" w:rsidRPr="009C258B">
        <w:t xml:space="preserve">), </w:t>
      </w:r>
      <w:r w:rsidR="00F7462C" w:rsidRPr="009C258B">
        <w:t xml:space="preserve">e </w:t>
      </w:r>
      <w:r w:rsidR="00F93DBB" w:rsidRPr="009C258B">
        <w:t>que pode ser encontrada em inúmeras peças e textos programáticos</w:t>
      </w:r>
      <w:r w:rsidR="004914F6" w:rsidRPr="009C258B">
        <w:t xml:space="preserve"> </w:t>
      </w:r>
      <w:r w:rsidR="00F93DBB" w:rsidRPr="009C258B">
        <w:t>escritos a</w:t>
      </w:r>
      <w:r w:rsidR="00A15B66" w:rsidRPr="009C258B">
        <w:t xml:space="preserve"> partir de meados dos anos </w:t>
      </w:r>
      <w:r w:rsidR="00930447" w:rsidRPr="009C258B">
        <w:t>19</w:t>
      </w:r>
      <w:r w:rsidR="00A15B66" w:rsidRPr="009C258B">
        <w:t>20.</w:t>
      </w:r>
      <w:r w:rsidR="00F93DBB" w:rsidRPr="009C258B">
        <w:t xml:space="preserve"> </w:t>
      </w:r>
    </w:p>
    <w:p w14:paraId="01DB4D33" w14:textId="38736862" w:rsidR="00697056" w:rsidRPr="009C258B" w:rsidRDefault="00F93DBB" w:rsidP="005F3E65">
      <w:pPr>
        <w:rPr>
          <w:rFonts w:eastAsia="Calibri"/>
        </w:rPr>
      </w:pPr>
      <w:r w:rsidRPr="009C258B">
        <w:t>Tomando um de seus textos mais conhecidos, poderemos mostrar como “catarse”, “identificação” e “empatia” estão intimamente interligad</w:t>
      </w:r>
      <w:r w:rsidR="00403E75" w:rsidRPr="009C258B">
        <w:t>a</w:t>
      </w:r>
      <w:r w:rsidRPr="009C258B">
        <w:t xml:space="preserve">s. O texto em questão é uma série de notas sobre a </w:t>
      </w:r>
      <w:r w:rsidR="004914F6" w:rsidRPr="009C258B">
        <w:t>peça</w:t>
      </w:r>
      <w:r w:rsidRPr="009C258B">
        <w:t xml:space="preserve"> </w:t>
      </w:r>
      <w:r w:rsidRPr="009C258B">
        <w:rPr>
          <w:i/>
          <w:iCs/>
        </w:rPr>
        <w:t>Ascensão e queda da cidade de Mahagonny</w:t>
      </w:r>
      <w:r w:rsidR="004914F6" w:rsidRPr="009C258B">
        <w:t>. Essas anotações,</w:t>
      </w:r>
      <w:r w:rsidRPr="009C258B">
        <w:t xml:space="preserve"> publicadas pela primeira vez</w:t>
      </w:r>
      <w:r w:rsidR="00A66954">
        <w:t xml:space="preserve"> em</w:t>
      </w:r>
      <w:r w:rsidRPr="009C258B">
        <w:t xml:space="preserve"> 1930</w:t>
      </w:r>
      <w:r w:rsidR="00F7599E" w:rsidRPr="009C258B">
        <w:t>,</w:t>
      </w:r>
      <w:r w:rsidRPr="009C258B">
        <w:t xml:space="preserve"> no segundo caderno da série </w:t>
      </w:r>
      <w:r w:rsidRPr="009C258B">
        <w:rPr>
          <w:i/>
          <w:iCs/>
        </w:rPr>
        <w:t>Experimentos</w:t>
      </w:r>
      <w:r w:rsidRPr="009C258B">
        <w:t xml:space="preserve"> (</w:t>
      </w:r>
      <w:proofErr w:type="spellStart"/>
      <w:r w:rsidRPr="009C258B">
        <w:rPr>
          <w:i/>
          <w:iCs/>
        </w:rPr>
        <w:t>Versuche</w:t>
      </w:r>
      <w:proofErr w:type="spellEnd"/>
      <w:r w:rsidRPr="009C258B">
        <w:t>)</w:t>
      </w:r>
      <w:r w:rsidR="00403E75" w:rsidRPr="009C258B">
        <w:t>, cont</w:t>
      </w:r>
      <w:r w:rsidR="00A66954">
        <w:t>ê</w:t>
      </w:r>
      <w:r w:rsidR="00403E75" w:rsidRPr="009C258B">
        <w:t xml:space="preserve">m uma célebre </w:t>
      </w:r>
      <w:r w:rsidRPr="009C258B">
        <w:t xml:space="preserve">comparação esquemática do teatro épico </w:t>
      </w:r>
      <w:r w:rsidR="00E141E4" w:rsidRPr="009C258B">
        <w:t xml:space="preserve">com </w:t>
      </w:r>
      <w:r w:rsidRPr="009C258B">
        <w:t>o teatro tradicional.</w:t>
      </w:r>
      <w:r w:rsidRPr="009C258B">
        <w:rPr>
          <w:rFonts w:eastAsia="Calibri"/>
        </w:rPr>
        <w:t xml:space="preserve"> Essa</w:t>
      </w:r>
      <w:r w:rsidR="00403E75" w:rsidRPr="009C258B">
        <w:rPr>
          <w:rFonts w:eastAsia="Calibri"/>
        </w:rPr>
        <w:t xml:space="preserve"> comparação</w:t>
      </w:r>
      <w:r w:rsidR="004914F6" w:rsidRPr="009C258B">
        <w:rPr>
          <w:rFonts w:eastAsia="Calibri"/>
        </w:rPr>
        <w:t xml:space="preserve"> esquemática</w:t>
      </w:r>
      <w:r w:rsidRPr="009C258B">
        <w:rPr>
          <w:rFonts w:eastAsia="Calibri"/>
        </w:rPr>
        <w:t xml:space="preserve"> repercuti</w:t>
      </w:r>
      <w:r w:rsidR="00403E75" w:rsidRPr="009C258B">
        <w:rPr>
          <w:rFonts w:eastAsia="Calibri"/>
        </w:rPr>
        <w:t>u</w:t>
      </w:r>
      <w:r w:rsidRPr="009C258B">
        <w:rPr>
          <w:rFonts w:eastAsia="Calibri"/>
        </w:rPr>
        <w:t xml:space="preserve"> bastante na época, e, ainda nos anos 30, pass</w:t>
      </w:r>
      <w:r w:rsidR="00403E75" w:rsidRPr="009C258B">
        <w:rPr>
          <w:rFonts w:eastAsia="Calibri"/>
        </w:rPr>
        <w:t xml:space="preserve">ou </w:t>
      </w:r>
      <w:r w:rsidRPr="009C258B">
        <w:rPr>
          <w:rFonts w:eastAsia="Calibri"/>
        </w:rPr>
        <w:t>a ser lida de modo dogmático e simplificado. Por essa razão, em 1938</w:t>
      </w:r>
      <w:r w:rsidR="00F7462C" w:rsidRPr="009C258B">
        <w:rPr>
          <w:rFonts w:eastAsia="Calibri"/>
        </w:rPr>
        <w:t>,</w:t>
      </w:r>
      <w:r w:rsidRPr="009C258B">
        <w:rPr>
          <w:rFonts w:eastAsia="Calibri"/>
        </w:rPr>
        <w:t xml:space="preserve"> Brecht elaborou uma nova redação do </w:t>
      </w:r>
      <w:r w:rsidR="00403E75" w:rsidRPr="009C258B">
        <w:rPr>
          <w:rFonts w:eastAsia="Calibri"/>
        </w:rPr>
        <w:t>paralelo entre o novo e o velho teatro</w:t>
      </w:r>
      <w:r w:rsidRPr="009C258B">
        <w:rPr>
          <w:rFonts w:eastAsia="Calibri"/>
        </w:rPr>
        <w:t>, buscando</w:t>
      </w:r>
      <w:r w:rsidR="00F7462C" w:rsidRPr="009C258B">
        <w:rPr>
          <w:rFonts w:eastAsia="Calibri"/>
        </w:rPr>
        <w:t xml:space="preserve"> dar uma</w:t>
      </w:r>
      <w:r w:rsidRPr="009C258B">
        <w:rPr>
          <w:rFonts w:eastAsia="Calibri"/>
        </w:rPr>
        <w:t xml:space="preserve"> forma mais nuançada </w:t>
      </w:r>
      <w:r w:rsidR="00403E75" w:rsidRPr="009C258B">
        <w:rPr>
          <w:rFonts w:eastAsia="Calibri"/>
        </w:rPr>
        <w:t>ao esquema</w:t>
      </w:r>
      <w:r w:rsidRPr="009C258B">
        <w:rPr>
          <w:rFonts w:eastAsia="Calibri"/>
        </w:rPr>
        <w:t xml:space="preserve">, </w:t>
      </w:r>
      <w:r w:rsidR="00403E75" w:rsidRPr="009C258B">
        <w:rPr>
          <w:rFonts w:eastAsia="Calibri"/>
        </w:rPr>
        <w:t xml:space="preserve">de </w:t>
      </w:r>
      <w:r w:rsidR="00403E75" w:rsidRPr="009C258B">
        <w:rPr>
          <w:rFonts w:eastAsia="Calibri"/>
        </w:rPr>
        <w:lastRenderedPageBreak/>
        <w:t xml:space="preserve">modo a </w:t>
      </w:r>
      <w:r w:rsidR="00F86776" w:rsidRPr="009C258B">
        <w:rPr>
          <w:rFonts w:eastAsia="Calibri"/>
        </w:rPr>
        <w:t>representar o</w:t>
      </w:r>
      <w:r w:rsidRPr="009C258B">
        <w:rPr>
          <w:rFonts w:eastAsia="Calibri"/>
        </w:rPr>
        <w:t xml:space="preserve"> teatro épico e o teatro </w:t>
      </w:r>
      <w:r w:rsidR="0047634E" w:rsidRPr="009C258B">
        <w:rPr>
          <w:rFonts w:eastAsia="Calibri"/>
        </w:rPr>
        <w:t>tradicional</w:t>
      </w:r>
      <w:r w:rsidR="00F86776" w:rsidRPr="009C258B">
        <w:rPr>
          <w:rFonts w:eastAsia="Calibri"/>
        </w:rPr>
        <w:t xml:space="preserve"> como não sendo</w:t>
      </w:r>
      <w:r w:rsidRPr="009C258B">
        <w:rPr>
          <w:rFonts w:eastAsia="Calibri"/>
        </w:rPr>
        <w:t xml:space="preserve"> absolutamente opostos</w:t>
      </w:r>
      <w:r w:rsidR="004914F6" w:rsidRPr="009C258B">
        <w:rPr>
          <w:rStyle w:val="Refdenotaderodap"/>
          <w:rFonts w:eastAsia="Calibri" w:cs="Times New Roman"/>
          <w:szCs w:val="24"/>
        </w:rPr>
        <w:footnoteReference w:id="18"/>
      </w:r>
      <w:r w:rsidR="00AB796C">
        <w:rPr>
          <w:rFonts w:eastAsia="Calibri"/>
        </w:rPr>
        <w:t>.</w:t>
      </w:r>
    </w:p>
    <w:p w14:paraId="1D19A771" w14:textId="3E783D0F" w:rsidR="00F93DBB" w:rsidRPr="009C258B" w:rsidRDefault="00F93DBB" w:rsidP="005F3E65">
      <w:pPr>
        <w:rPr>
          <w:rFonts w:eastAsia="Calibri"/>
        </w:rPr>
      </w:pPr>
      <w:r w:rsidRPr="009C258B">
        <w:rPr>
          <w:rFonts w:eastAsia="Calibri"/>
        </w:rPr>
        <w:t xml:space="preserve">Como não sabemos, porém, se Benjamin teve acesso a essa segunda versão, tomaremos aqui o </w:t>
      </w:r>
      <w:r w:rsidR="00697056" w:rsidRPr="009C258B">
        <w:rPr>
          <w:rFonts w:eastAsia="Calibri"/>
        </w:rPr>
        <w:t xml:space="preserve">quadro </w:t>
      </w:r>
      <w:r w:rsidR="00BA7B54" w:rsidRPr="009C258B">
        <w:rPr>
          <w:rFonts w:eastAsia="Calibri"/>
        </w:rPr>
        <w:t>comparativo</w:t>
      </w:r>
      <w:r w:rsidR="00F7462C" w:rsidRPr="009C258B">
        <w:rPr>
          <w:rFonts w:eastAsia="Calibri"/>
        </w:rPr>
        <w:t xml:space="preserve"> </w:t>
      </w:r>
      <w:r w:rsidRPr="009C258B">
        <w:rPr>
          <w:rFonts w:eastAsia="Calibri"/>
        </w:rPr>
        <w:t xml:space="preserve">de 1930, que ele certamente conhecia, já que este </w:t>
      </w:r>
      <w:r w:rsidR="00BA7B54" w:rsidRPr="009C258B">
        <w:rPr>
          <w:rFonts w:eastAsia="Calibri"/>
        </w:rPr>
        <w:t>quadro</w:t>
      </w:r>
      <w:r w:rsidRPr="009C258B">
        <w:rPr>
          <w:rFonts w:eastAsia="Calibri"/>
        </w:rPr>
        <w:t xml:space="preserve"> foi inclusive o ponto de partida da polêmica</w:t>
      </w:r>
      <w:r w:rsidR="00D25445" w:rsidRPr="009C258B">
        <w:rPr>
          <w:rStyle w:val="Refdenotaderodap"/>
          <w:rFonts w:eastAsia="Calibri" w:cs="Times New Roman"/>
          <w:szCs w:val="24"/>
        </w:rPr>
        <w:footnoteReference w:id="19"/>
      </w:r>
      <w:r w:rsidRPr="009C258B">
        <w:rPr>
          <w:rFonts w:eastAsia="Calibri"/>
        </w:rPr>
        <w:t xml:space="preserve"> da qual Benjamin pretendia participar com o seu texto de 1931, intitulado “O que é teatro épico</w:t>
      </w:r>
      <w:r w:rsidR="00BA7B54" w:rsidRPr="009C258B">
        <w:rPr>
          <w:rFonts w:eastAsia="Calibri"/>
        </w:rPr>
        <w:t>?</w:t>
      </w:r>
      <w:r w:rsidRPr="009C258B">
        <w:rPr>
          <w:rFonts w:eastAsia="Calibri"/>
        </w:rPr>
        <w:t>”</w:t>
      </w:r>
      <w:r w:rsidR="00BF00C7" w:rsidRPr="009C258B">
        <w:rPr>
          <w:rFonts w:eastAsia="Calibri"/>
        </w:rPr>
        <w:t>.</w:t>
      </w:r>
    </w:p>
    <w:p w14:paraId="7C396C8B" w14:textId="25CB50E7" w:rsidR="00F93DBB" w:rsidRPr="009C258B" w:rsidRDefault="00F93DBB" w:rsidP="005F3E65">
      <w:r w:rsidRPr="009C258B">
        <w:t>O quadro cont</w:t>
      </w:r>
      <w:r w:rsidR="00BA7B54" w:rsidRPr="009C258B">
        <w:t>é</w:t>
      </w:r>
      <w:r w:rsidRPr="009C258B">
        <w:t xml:space="preserve">m observações sobre o espectador, sobre a visão de mundo do teatro e sobre </w:t>
      </w:r>
      <w:r w:rsidR="00F7462C" w:rsidRPr="009C258B">
        <w:t xml:space="preserve">os </w:t>
      </w:r>
      <w:r w:rsidRPr="009C258B">
        <w:t xml:space="preserve">aspectos formais e estruturais da dramaturgia e das encenações. Para nossos propósitos, interessa sobretudo o início do </w:t>
      </w:r>
      <w:r w:rsidR="00BA7B54" w:rsidRPr="009C258B">
        <w:t>texto</w:t>
      </w:r>
      <w:r w:rsidRPr="009C258B">
        <w:t>, pois ele trata essencialmente do espectador e da recepção das obras teatrais. Nesse início</w:t>
      </w:r>
      <w:r w:rsidR="00054029" w:rsidRPr="009C258B">
        <w:t xml:space="preserve"> do texto</w:t>
      </w:r>
      <w:r w:rsidRPr="009C258B">
        <w:t>, as oposições fundamentais entre o teatro tradicional e o teatro épico são:</w:t>
      </w:r>
    </w:p>
    <w:p w14:paraId="4206102D" w14:textId="2EDF60B1" w:rsidR="00F93DBB" w:rsidRPr="00E80F8E" w:rsidRDefault="00F93DBB" w:rsidP="00411572">
      <w:pPr>
        <w:pStyle w:val="Citao"/>
        <w:spacing w:after="120"/>
      </w:pPr>
      <w:r w:rsidRPr="00E80F8E">
        <w:t>“envolve o espectador em uma ação no palco</w:t>
      </w:r>
      <w:r w:rsidR="00BE2537" w:rsidRPr="00E80F8E">
        <w:t xml:space="preserve"> / </w:t>
      </w:r>
      <w:r w:rsidRPr="00E80F8E">
        <w:t>“faz do espectador um observador”</w:t>
      </w:r>
    </w:p>
    <w:p w14:paraId="7DA7559A" w14:textId="0A32DBFA" w:rsidR="00F93DBB" w:rsidRPr="00E80F8E" w:rsidRDefault="00F93DBB" w:rsidP="00411572">
      <w:pPr>
        <w:pStyle w:val="Citao"/>
        <w:spacing w:before="120" w:after="120"/>
      </w:pPr>
      <w:r w:rsidRPr="00E80F8E">
        <w:t>“utiliza sua atividade”</w:t>
      </w:r>
      <w:r w:rsidR="00BE2537" w:rsidRPr="00E80F8E">
        <w:t xml:space="preserve"> / </w:t>
      </w:r>
      <w:r w:rsidRPr="00E80F8E">
        <w:t>“desperta sua atividade”</w:t>
      </w:r>
    </w:p>
    <w:p w14:paraId="178BEB2F" w14:textId="132D0D22" w:rsidR="00F93DBB" w:rsidRPr="00E80F8E" w:rsidRDefault="00F93DBB" w:rsidP="00411572">
      <w:pPr>
        <w:pStyle w:val="Citao"/>
        <w:spacing w:before="120" w:after="120"/>
      </w:pPr>
      <w:r w:rsidRPr="00E80F8E">
        <w:t>“possibilita-lhe sentimentos”</w:t>
      </w:r>
      <w:r w:rsidR="00BE2537" w:rsidRPr="00E80F8E">
        <w:t xml:space="preserve"> / </w:t>
      </w:r>
      <w:r w:rsidRPr="00E80F8E">
        <w:t>“força-o a tomar decisões</w:t>
      </w:r>
      <w:r w:rsidR="00A3677D" w:rsidRPr="00E80F8E">
        <w:t>”</w:t>
      </w:r>
    </w:p>
    <w:p w14:paraId="6DCA35D3" w14:textId="3FCE5415" w:rsidR="00F93DBB" w:rsidRPr="00E80F8E" w:rsidRDefault="00F93DBB" w:rsidP="00411572">
      <w:pPr>
        <w:pStyle w:val="Citao"/>
        <w:spacing w:before="120" w:after="120"/>
      </w:pPr>
      <w:r w:rsidRPr="00E80F8E">
        <w:t>“vivência” [</w:t>
      </w:r>
      <w:proofErr w:type="spellStart"/>
      <w:r w:rsidRPr="00E80F8E">
        <w:rPr>
          <w:i/>
        </w:rPr>
        <w:t>Erlebnis</w:t>
      </w:r>
      <w:proofErr w:type="spellEnd"/>
      <w:r w:rsidRPr="00E80F8E">
        <w:t>]</w:t>
      </w:r>
      <w:r w:rsidR="00BE2537" w:rsidRPr="00E80F8E">
        <w:t xml:space="preserve"> / </w:t>
      </w:r>
      <w:r w:rsidRPr="00E80F8E">
        <w:t>“imagem de mundo”</w:t>
      </w:r>
    </w:p>
    <w:p w14:paraId="017FD1FF" w14:textId="526F93F7" w:rsidR="00F93DBB" w:rsidRPr="00E80F8E" w:rsidRDefault="00F93DBB" w:rsidP="00411572">
      <w:pPr>
        <w:pStyle w:val="Citao"/>
        <w:spacing w:before="120" w:after="120"/>
      </w:pPr>
      <w:r w:rsidRPr="00E80F8E">
        <w:t>“sugestão”</w:t>
      </w:r>
      <w:r w:rsidR="00BE2537" w:rsidRPr="00E80F8E">
        <w:t xml:space="preserve"> / </w:t>
      </w:r>
      <w:r w:rsidRPr="00E80F8E">
        <w:t>“argumento”</w:t>
      </w:r>
    </w:p>
    <w:p w14:paraId="1FA7DE4F" w14:textId="5D342A38" w:rsidR="00F93DBB" w:rsidRPr="00E80F8E" w:rsidRDefault="00F93DBB" w:rsidP="00411572">
      <w:pPr>
        <w:pStyle w:val="Citao"/>
        <w:spacing w:before="120" w:after="120"/>
      </w:pPr>
      <w:r w:rsidRPr="00E80F8E">
        <w:t>[o espectador] “vivencia junto” [</w:t>
      </w:r>
      <w:proofErr w:type="spellStart"/>
      <w:r w:rsidRPr="00E80F8E">
        <w:rPr>
          <w:i/>
        </w:rPr>
        <w:t>miterlebt</w:t>
      </w:r>
      <w:proofErr w:type="spellEnd"/>
      <w:r w:rsidRPr="00E80F8E">
        <w:t>]</w:t>
      </w:r>
      <w:r w:rsidR="00BE2537" w:rsidRPr="009C2890">
        <w:t xml:space="preserve"> /</w:t>
      </w:r>
      <w:r w:rsidRPr="00E80F8E">
        <w:t xml:space="preserve"> [o espectador] “estuda”</w:t>
      </w:r>
    </w:p>
    <w:p w14:paraId="060838CC" w14:textId="0BE7DCEE" w:rsidR="00F93DBB" w:rsidRPr="009C258B" w:rsidRDefault="00F93DBB" w:rsidP="00411572">
      <w:pPr>
        <w:pStyle w:val="Citao"/>
        <w:spacing w:before="120"/>
      </w:pPr>
      <w:r w:rsidRPr="00E80F8E">
        <w:t>“pressupõe-se o homem como conhecido”</w:t>
      </w:r>
      <w:r w:rsidR="00BE2537" w:rsidRPr="00E80F8E">
        <w:t xml:space="preserve"> / </w:t>
      </w:r>
      <w:r w:rsidRPr="00E80F8E">
        <w:t>“o homem é objeto da investigação”</w:t>
      </w:r>
      <w:r w:rsidR="00C36F9A" w:rsidRPr="00E80F8E">
        <w:rPr>
          <w:rStyle w:val="Refdenotaderodap"/>
          <w:rFonts w:eastAsia="Calibri" w:cs="Times New Roman"/>
        </w:rPr>
        <w:footnoteReference w:id="20"/>
      </w:r>
    </w:p>
    <w:p w14:paraId="04779CA7" w14:textId="03EB6957" w:rsidR="00F93DBB" w:rsidRPr="009C258B" w:rsidRDefault="00F93DBB" w:rsidP="00B92D01">
      <w:r w:rsidRPr="009C258B">
        <w:t xml:space="preserve">Embora as palavras “catarse”, “empatia” e “identificação” não estejam presentes, é evidente que </w:t>
      </w:r>
      <w:r w:rsidR="00A3677D" w:rsidRPr="009C258B">
        <w:t>esses</w:t>
      </w:r>
      <w:r w:rsidRPr="009C258B">
        <w:t xml:space="preserve"> conceitos </w:t>
      </w:r>
      <w:r w:rsidR="00A3677D" w:rsidRPr="009C258B">
        <w:t>estão implicados</w:t>
      </w:r>
      <w:r w:rsidRPr="009C258B">
        <w:t xml:space="preserve"> aqui, uma vez que todas essas distinções </w:t>
      </w:r>
      <w:r w:rsidR="00BA7B54" w:rsidRPr="009C258B">
        <w:t>se apoiam</w:t>
      </w:r>
      <w:r w:rsidRPr="009C258B">
        <w:t xml:space="preserve"> na </w:t>
      </w:r>
      <w:r w:rsidR="00BA7B54" w:rsidRPr="009C258B">
        <w:t>contraposição</w:t>
      </w:r>
      <w:r w:rsidRPr="009C258B">
        <w:t xml:space="preserve"> entre o espectador passivo, sentimental e “comovido” da experiência catártica </w:t>
      </w:r>
      <w:r w:rsidR="00765CB1" w:rsidRPr="009C258B">
        <w:t>d</w:t>
      </w:r>
      <w:r w:rsidRPr="009C258B">
        <w:t xml:space="preserve">o teatro </w:t>
      </w:r>
      <w:r w:rsidR="00243182" w:rsidRPr="009C258B">
        <w:t>tradicional</w:t>
      </w:r>
      <w:r w:rsidRPr="009C258B">
        <w:t xml:space="preserve"> e o espectador ativo, observador e reflexivo da experiência do</w:t>
      </w:r>
      <w:r w:rsidR="00BA7B54" w:rsidRPr="009C258B">
        <w:t xml:space="preserve"> </w:t>
      </w:r>
      <w:r w:rsidRPr="009C258B">
        <w:t>estranhamento</w:t>
      </w:r>
      <w:r w:rsidR="00697056" w:rsidRPr="009C258B">
        <w:t>/distanciamento</w:t>
      </w:r>
      <w:r w:rsidRPr="009C258B">
        <w:t xml:space="preserve"> (</w:t>
      </w:r>
      <w:proofErr w:type="spellStart"/>
      <w:r w:rsidRPr="009C258B">
        <w:rPr>
          <w:i/>
          <w:iCs/>
        </w:rPr>
        <w:t>Verfremdung</w:t>
      </w:r>
      <w:proofErr w:type="spellEnd"/>
      <w:r w:rsidRPr="009C258B">
        <w:t>) no teatro épico.</w:t>
      </w:r>
    </w:p>
    <w:p w14:paraId="0FAFEC40" w14:textId="7934E3A7" w:rsidR="00A3677D" w:rsidRPr="009C258B" w:rsidRDefault="00D25445" w:rsidP="00B92D01">
      <w:r w:rsidRPr="009C258B">
        <w:t xml:space="preserve">Na elaboração desse texto, Brecht trabalha de modo deliberadamente dicotômico e procura utilizar um vocabulário razoavelmente acessível. Nos dois casos (no vocabulário e nas dicotomias), podemos interpretar </w:t>
      </w:r>
      <w:r w:rsidR="00054029" w:rsidRPr="009C258B">
        <w:t>a sua</w:t>
      </w:r>
      <w:r w:rsidRPr="009C258B">
        <w:t xml:space="preserve"> atitude como um exemplo da</w:t>
      </w:r>
      <w:r w:rsidR="00F93DBB" w:rsidRPr="009C258B">
        <w:t xml:space="preserve"> ideia</w:t>
      </w:r>
      <w:r w:rsidRPr="009C258B">
        <w:t xml:space="preserve"> estratégica segundo a qual</w:t>
      </w:r>
      <w:r w:rsidR="00F93DBB" w:rsidRPr="009C258B">
        <w:t xml:space="preserve"> o “pensamento tosco” ou “</w:t>
      </w:r>
      <w:r w:rsidR="000124FB" w:rsidRPr="009C258B">
        <w:t>grosseiro</w:t>
      </w:r>
      <w:r w:rsidR="00F93DBB" w:rsidRPr="009C258B">
        <w:t>” (</w:t>
      </w:r>
      <w:proofErr w:type="spellStart"/>
      <w:r w:rsidR="00F93DBB" w:rsidRPr="009C258B">
        <w:rPr>
          <w:i/>
          <w:iCs/>
        </w:rPr>
        <w:t>plum</w:t>
      </w:r>
      <w:r w:rsidR="000124FB" w:rsidRPr="009C258B">
        <w:rPr>
          <w:i/>
          <w:iCs/>
        </w:rPr>
        <w:t>p</w:t>
      </w:r>
      <w:r w:rsidR="00F93DBB" w:rsidRPr="009C258B">
        <w:rPr>
          <w:i/>
          <w:iCs/>
        </w:rPr>
        <w:t>es</w:t>
      </w:r>
      <w:proofErr w:type="spellEnd"/>
      <w:r w:rsidR="00F93DBB" w:rsidRPr="009C258B">
        <w:rPr>
          <w:i/>
          <w:iCs/>
        </w:rPr>
        <w:t xml:space="preserve"> </w:t>
      </w:r>
      <w:proofErr w:type="spellStart"/>
      <w:r w:rsidR="00F93DBB" w:rsidRPr="009C258B">
        <w:rPr>
          <w:i/>
          <w:iCs/>
        </w:rPr>
        <w:t>Denken</w:t>
      </w:r>
      <w:proofErr w:type="spellEnd"/>
      <w:r w:rsidR="00F93DBB" w:rsidRPr="009C258B">
        <w:t>)</w:t>
      </w:r>
      <w:r w:rsidR="00F93DBB" w:rsidRPr="009C258B">
        <w:rPr>
          <w:color w:val="EE0000"/>
        </w:rPr>
        <w:t xml:space="preserve"> </w:t>
      </w:r>
      <w:r w:rsidR="00F93DBB" w:rsidRPr="009C258B">
        <w:t xml:space="preserve">é </w:t>
      </w:r>
      <w:r w:rsidR="00054029" w:rsidRPr="009C258B">
        <w:t xml:space="preserve">o meio </w:t>
      </w:r>
      <w:r w:rsidR="00F93DBB" w:rsidRPr="009C258B">
        <w:t xml:space="preserve">mais eficaz </w:t>
      </w:r>
      <w:r w:rsidRPr="009C258B">
        <w:t xml:space="preserve">quando se trata de </w:t>
      </w:r>
      <w:r w:rsidR="00BA7B54" w:rsidRPr="009C258B">
        <w:t>promover</w:t>
      </w:r>
      <w:r w:rsidRPr="009C258B">
        <w:t xml:space="preserve"> a passagem da teoria</w:t>
      </w:r>
      <w:r w:rsidR="00054029" w:rsidRPr="009C258B">
        <w:t xml:space="preserve"> política</w:t>
      </w:r>
      <w:r w:rsidRPr="009C258B">
        <w:t xml:space="preserve"> à ação</w:t>
      </w:r>
      <w:r w:rsidR="00054029" w:rsidRPr="009C258B">
        <w:t xml:space="preserve"> concreta</w:t>
      </w:r>
      <w:r w:rsidRPr="009C258B">
        <w:t>.</w:t>
      </w:r>
      <w:r w:rsidR="00700E35" w:rsidRPr="009C258B">
        <w:t xml:space="preserve"> Nas palavras de Benjamin</w:t>
      </w:r>
      <w:r w:rsidR="00054029" w:rsidRPr="009C258B">
        <w:t>, n</w:t>
      </w:r>
      <w:r w:rsidR="00126123" w:rsidRPr="009C258B">
        <w:t>a sua resenha de 1935 sobre o “Romance dos três vinténs” (1934)</w:t>
      </w:r>
      <w:r w:rsidR="009F60C5" w:rsidRPr="009C258B">
        <w:t>,</w:t>
      </w:r>
      <w:r w:rsidR="00126123" w:rsidRPr="009C258B">
        <w:t xml:space="preserve"> de Brecht:</w:t>
      </w:r>
      <w:r w:rsidR="00700E35" w:rsidRPr="009C258B">
        <w:t xml:space="preserve"> </w:t>
      </w:r>
      <w:r w:rsidR="00C36736" w:rsidRPr="009C258B">
        <w:t>“P</w:t>
      </w:r>
      <w:r w:rsidR="00700E35" w:rsidRPr="009C258B">
        <w:t xml:space="preserve">ensamentos </w:t>
      </w:r>
      <w:r w:rsidR="00700E35" w:rsidRPr="009C258B">
        <w:lastRenderedPageBreak/>
        <w:t>toscos pertencem justamente ao orçamento doméstico do pensamento dialético</w:t>
      </w:r>
      <w:r w:rsidR="00C36736" w:rsidRPr="009C258B">
        <w:t>, porque eles não apresentam nada além da instrução da teoria na prática”</w:t>
      </w:r>
      <w:r w:rsidR="00243182" w:rsidRPr="009C258B">
        <w:t xml:space="preserve"> (Benjamin, 1991c, pp. 446).</w:t>
      </w:r>
    </w:p>
    <w:p w14:paraId="7BC166C7" w14:textId="7D0E6E95" w:rsidR="00F93DBB" w:rsidRPr="009C258B" w:rsidRDefault="00F93DBB" w:rsidP="00B92D01">
      <w:r w:rsidRPr="009C258B">
        <w:t>Apesar d</w:t>
      </w:r>
      <w:r w:rsidR="00243182" w:rsidRPr="009C258B">
        <w:t>e usar um vocabulário acessível</w:t>
      </w:r>
      <w:r w:rsidRPr="009C258B">
        <w:t>, Brecht utiliza dois termos que na época pertencem ao debate filosófico sobre a empatia: “vivência”</w:t>
      </w:r>
      <w:r w:rsidR="00930447" w:rsidRPr="009C258B">
        <w:t xml:space="preserve"> [</w:t>
      </w:r>
      <w:proofErr w:type="spellStart"/>
      <w:r w:rsidR="00930447" w:rsidRPr="009C258B">
        <w:rPr>
          <w:i/>
          <w:iCs/>
        </w:rPr>
        <w:t>Erlebnis</w:t>
      </w:r>
      <w:proofErr w:type="spellEnd"/>
      <w:r w:rsidR="00930447" w:rsidRPr="009C258B">
        <w:t>]</w:t>
      </w:r>
      <w:r w:rsidRPr="009C258B">
        <w:t xml:space="preserve"> e “vivenciar junto”</w:t>
      </w:r>
      <w:r w:rsidR="00930447" w:rsidRPr="009C258B">
        <w:t xml:space="preserve"> [</w:t>
      </w:r>
      <w:proofErr w:type="spellStart"/>
      <w:r w:rsidR="00930447" w:rsidRPr="009C258B">
        <w:rPr>
          <w:i/>
          <w:iCs/>
        </w:rPr>
        <w:t>miterleben</w:t>
      </w:r>
      <w:proofErr w:type="spellEnd"/>
      <w:r w:rsidR="00930447" w:rsidRPr="009C258B">
        <w:t>]</w:t>
      </w:r>
      <w:r w:rsidRPr="009C258B">
        <w:t xml:space="preserve">. </w:t>
      </w:r>
      <w:r w:rsidR="00632B8C" w:rsidRPr="009C258B">
        <w:t>P</w:t>
      </w:r>
      <w:r w:rsidRPr="009C258B">
        <w:t>odemos até mesmo dizer que</w:t>
      </w:r>
      <w:r w:rsidR="00632B8C" w:rsidRPr="009C258B">
        <w:t>, neste quadro comparativo, “vivenciar junto” é o termo</w:t>
      </w:r>
      <w:r w:rsidRPr="009C258B">
        <w:t xml:space="preserve"> equivalente </w:t>
      </w:r>
      <w:r w:rsidR="00632B8C" w:rsidRPr="009C258B">
        <w:t>à noção de</w:t>
      </w:r>
      <w:r w:rsidRPr="009C258B">
        <w:t xml:space="preserve"> empatia ou d</w:t>
      </w:r>
      <w:r w:rsidR="00632B8C" w:rsidRPr="009C258B">
        <w:t>e</w:t>
      </w:r>
      <w:r w:rsidRPr="009C258B">
        <w:t xml:space="preserve"> identificação</w:t>
      </w:r>
      <w:r w:rsidR="00632B8C" w:rsidRPr="009C258B">
        <w:t xml:space="preserve"> afetiva</w:t>
      </w:r>
      <w:r w:rsidRPr="009C258B">
        <w:t>.</w:t>
      </w:r>
      <w:r w:rsidR="00632B8C" w:rsidRPr="009C258B">
        <w:t xml:space="preserve"> Além disso,</w:t>
      </w:r>
      <w:r w:rsidRPr="009C258B">
        <w:t xml:space="preserve"> como </w:t>
      </w:r>
      <w:r w:rsidR="00126123" w:rsidRPr="009C258B">
        <w:t>o termo “vivência” é um</w:t>
      </w:r>
      <w:r w:rsidRPr="009C258B">
        <w:t xml:space="preserve"> termo fundamenta</w:t>
      </w:r>
      <w:r w:rsidR="00126123" w:rsidRPr="009C258B">
        <w:t>l</w:t>
      </w:r>
      <w:r w:rsidRPr="009C258B">
        <w:t xml:space="preserve"> </w:t>
      </w:r>
      <w:r w:rsidR="00632B8C" w:rsidRPr="009C258B">
        <w:t>no vocabulário</w:t>
      </w:r>
      <w:r w:rsidRPr="009C258B">
        <w:t xml:space="preserve"> da estética</w:t>
      </w:r>
      <w:r w:rsidR="00720921" w:rsidRPr="009C258B">
        <w:t xml:space="preserve"> </w:t>
      </w:r>
      <w:r w:rsidRPr="009C258B">
        <w:t>da época</w:t>
      </w:r>
      <w:r w:rsidR="00632B8C" w:rsidRPr="009C258B">
        <w:rPr>
          <w:rStyle w:val="Refdenotaderodap"/>
          <w:rFonts w:cs="Times New Roman"/>
          <w:szCs w:val="24"/>
        </w:rPr>
        <w:footnoteReference w:id="21"/>
      </w:r>
      <w:r w:rsidRPr="009C258B">
        <w:t xml:space="preserve">, em autores como </w:t>
      </w:r>
      <w:r w:rsidR="00383B97" w:rsidRPr="009C258B">
        <w:t xml:space="preserve">Roman </w:t>
      </w:r>
      <w:proofErr w:type="spellStart"/>
      <w:r w:rsidRPr="009C258B">
        <w:t>Ingarden</w:t>
      </w:r>
      <w:proofErr w:type="spellEnd"/>
      <w:r w:rsidRPr="009C258B">
        <w:t xml:space="preserve"> </w:t>
      </w:r>
      <w:r w:rsidR="00383B97" w:rsidRPr="009C258B">
        <w:t>e</w:t>
      </w:r>
      <w:r w:rsidRPr="009C258B">
        <w:t xml:space="preserve"> </w:t>
      </w:r>
      <w:r w:rsidR="00383B97" w:rsidRPr="009C258B">
        <w:t xml:space="preserve">Moritz </w:t>
      </w:r>
      <w:r w:rsidRPr="009C258B">
        <w:t>Geiger</w:t>
      </w:r>
      <w:r w:rsidR="00383B97" w:rsidRPr="009C258B">
        <w:t xml:space="preserve"> (além</w:t>
      </w:r>
      <w:r w:rsidR="00632B8C" w:rsidRPr="009C258B">
        <w:t>, é claro,</w:t>
      </w:r>
      <w:r w:rsidR="00383B97" w:rsidRPr="009C258B">
        <w:t xml:space="preserve"> de </w:t>
      </w:r>
      <w:proofErr w:type="spellStart"/>
      <w:r w:rsidR="00383B97" w:rsidRPr="009C258B">
        <w:t>Dilthey</w:t>
      </w:r>
      <w:proofErr w:type="spellEnd"/>
      <w:r w:rsidR="00383B97" w:rsidRPr="009C258B">
        <w:t>,</w:t>
      </w:r>
      <w:r w:rsidR="00632B8C" w:rsidRPr="009C258B">
        <w:t xml:space="preserve"> o</w:t>
      </w:r>
      <w:r w:rsidR="00383B97" w:rsidRPr="009C258B">
        <w:t xml:space="preserve"> autor mais associado ao termo)</w:t>
      </w:r>
      <w:r w:rsidRPr="009C258B">
        <w:t xml:space="preserve">, é </w:t>
      </w:r>
      <w:r w:rsidR="00126123" w:rsidRPr="009C258B">
        <w:t>razoável supor</w:t>
      </w:r>
      <w:r w:rsidRPr="009C258B">
        <w:t xml:space="preserve"> que Brecht </w:t>
      </w:r>
      <w:r w:rsidR="00126123" w:rsidRPr="009C258B">
        <w:t>tinha em mente</w:t>
      </w:r>
      <w:r w:rsidRPr="009C258B">
        <w:t xml:space="preserve"> </w:t>
      </w:r>
      <w:r w:rsidR="00126123" w:rsidRPr="009C258B">
        <w:t>uma “tomada de</w:t>
      </w:r>
      <w:r w:rsidRPr="009C258B">
        <w:t xml:space="preserve"> posição” contra </w:t>
      </w:r>
      <w:r w:rsidR="00126123" w:rsidRPr="009C258B">
        <w:t xml:space="preserve">esse tipo de </w:t>
      </w:r>
      <w:r w:rsidR="00632B8C" w:rsidRPr="009C258B">
        <w:t>estética psicológica</w:t>
      </w:r>
      <w:r w:rsidR="00720921" w:rsidRPr="009C258B">
        <w:t xml:space="preserve"> (ou psicológico-fenomenológica), que era muito forte no pensamento acadêmico naquele momento.</w:t>
      </w:r>
    </w:p>
    <w:p w14:paraId="7DDE3F05" w14:textId="634D6D16" w:rsidR="00C02225" w:rsidRPr="009C258B" w:rsidRDefault="00F93DBB" w:rsidP="00B92D01">
      <w:r w:rsidRPr="009C258B">
        <w:t>Como exemplo da atitude de Brecht em relação</w:t>
      </w:r>
      <w:r w:rsidR="0031504A" w:rsidRPr="009C258B">
        <w:t xml:space="preserve"> à empatia</w:t>
      </w:r>
      <w:r w:rsidR="00720FCE" w:rsidRPr="009C258B">
        <w:t xml:space="preserve"> e à vivência de identificação</w:t>
      </w:r>
      <w:r w:rsidRPr="009C258B">
        <w:t xml:space="preserve">, além do quadro acima citado, poderíamos tomar o </w:t>
      </w:r>
      <w:r w:rsidR="00765CB1" w:rsidRPr="009C258B">
        <w:t>ensaio</w:t>
      </w:r>
      <w:r w:rsidRPr="009C258B">
        <w:t xml:space="preserve"> “Dificuldades do teatro épico”, publicado no </w:t>
      </w:r>
      <w:r w:rsidRPr="009C258B">
        <w:rPr>
          <w:i/>
          <w:iCs/>
        </w:rPr>
        <w:t>Frankfurter Zeitung</w:t>
      </w:r>
      <w:r w:rsidRPr="009C258B">
        <w:t xml:space="preserve"> em 27</w:t>
      </w:r>
      <w:r w:rsidR="00DE65E6" w:rsidRPr="009C258B">
        <w:t xml:space="preserve"> de dezembro de</w:t>
      </w:r>
      <w:r w:rsidRPr="009C258B">
        <w:t xml:space="preserve"> 1927:</w:t>
      </w:r>
    </w:p>
    <w:p w14:paraId="623E4C2F" w14:textId="2550CCF9" w:rsidR="00C02225" w:rsidRPr="009C258B" w:rsidRDefault="00F93DBB" w:rsidP="006077B4">
      <w:pPr>
        <w:pStyle w:val="Citao"/>
      </w:pPr>
      <w:r w:rsidRPr="009C258B">
        <w:t>O essencial no teatro épico é talvez o fato de que ele não apela tanto ao sentimento, mas antes mais à razão do espectador. O espectador não deve vivenciar junto [</w:t>
      </w:r>
      <w:proofErr w:type="spellStart"/>
      <w:r w:rsidRPr="009C258B">
        <w:rPr>
          <w:i/>
        </w:rPr>
        <w:t>miterleben</w:t>
      </w:r>
      <w:proofErr w:type="spellEnd"/>
      <w:r w:rsidRPr="009C258B">
        <w:t>], mas antes confrontar-se com [</w:t>
      </w:r>
      <w:proofErr w:type="spellStart"/>
      <w:r w:rsidRPr="009C258B">
        <w:rPr>
          <w:i/>
        </w:rPr>
        <w:t>auseinandersetzen</w:t>
      </w:r>
      <w:proofErr w:type="spellEnd"/>
      <w:r w:rsidRPr="009C258B">
        <w:t>]</w:t>
      </w:r>
      <w:r w:rsidR="00A531EC" w:rsidRPr="009C258B">
        <w:t xml:space="preserve"> (</w:t>
      </w:r>
      <w:r w:rsidR="00A531EC" w:rsidRPr="00CB5573">
        <w:rPr>
          <w:i/>
          <w:iCs w:val="0"/>
        </w:rPr>
        <w:t>Apud</w:t>
      </w:r>
      <w:r w:rsidR="00A531EC" w:rsidRPr="009C258B">
        <w:t xml:space="preserve"> Knopf, 2003, p. 40).</w:t>
      </w:r>
    </w:p>
    <w:p w14:paraId="4BA6A9A9" w14:textId="04BAC36D" w:rsidR="00720FCE" w:rsidRPr="009C258B" w:rsidRDefault="00732DA9" w:rsidP="00B92D01">
      <w:r w:rsidRPr="009C258B">
        <w:rPr>
          <w:rFonts w:eastAsia="Calibri"/>
          <w:color w:val="000000"/>
        </w:rPr>
        <w:t xml:space="preserve">Há, </w:t>
      </w:r>
      <w:r w:rsidR="00C97563" w:rsidRPr="009C258B">
        <w:rPr>
          <w:rFonts w:eastAsia="Calibri"/>
          <w:color w:val="000000"/>
        </w:rPr>
        <w:t>igualmente</w:t>
      </w:r>
      <w:r w:rsidRPr="009C258B">
        <w:rPr>
          <w:rFonts w:eastAsia="Calibri"/>
          <w:color w:val="000000"/>
        </w:rPr>
        <w:t>, vários textos em que Brecht usa diretamente o termo “empatia”, como</w:t>
      </w:r>
      <w:r w:rsidR="0048188E" w:rsidRPr="009C258B">
        <w:rPr>
          <w:rFonts w:eastAsia="Calibri"/>
          <w:color w:val="000000"/>
        </w:rPr>
        <w:t xml:space="preserve">, por </w:t>
      </w:r>
      <w:r w:rsidR="0048188E" w:rsidRPr="009C258B">
        <w:rPr>
          <w:rFonts w:eastAsia="Calibri"/>
        </w:rPr>
        <w:t>exemplo</w:t>
      </w:r>
      <w:r w:rsidR="00720FCE" w:rsidRPr="009C258B">
        <w:rPr>
          <w:rFonts w:eastAsia="Calibri"/>
        </w:rPr>
        <w:t xml:space="preserve">: </w:t>
      </w:r>
      <w:r w:rsidR="00686503" w:rsidRPr="009C258B">
        <w:t>“Teses sobre a tarefa da empatia nas artes teatrais” (1935)</w:t>
      </w:r>
      <w:r w:rsidR="00720FCE" w:rsidRPr="009C258B">
        <w:t xml:space="preserve"> e “Sobre o teatro experimental” (1939)</w:t>
      </w:r>
      <w:r w:rsidR="00774C4F" w:rsidRPr="009C258B">
        <w:rPr>
          <w:rStyle w:val="Refdenotaderodap"/>
          <w:rFonts w:cs="Times New Roman"/>
          <w:szCs w:val="24"/>
        </w:rPr>
        <w:footnoteReference w:id="22"/>
      </w:r>
      <w:r w:rsidR="00AB796C">
        <w:t>.</w:t>
      </w:r>
    </w:p>
    <w:p w14:paraId="728223A9" w14:textId="1D6A8237" w:rsidR="009F60C5" w:rsidRPr="009C258B" w:rsidRDefault="00F93DBB" w:rsidP="00B92D01">
      <w:r w:rsidRPr="009C258B">
        <w:t xml:space="preserve">Voltemos agora a Benjamin. </w:t>
      </w:r>
      <w:r w:rsidR="009F60C5" w:rsidRPr="009C258B">
        <w:t>De que modo</w:t>
      </w:r>
      <w:r w:rsidRPr="009C258B">
        <w:t xml:space="preserve"> ele aborda essa questão central do teatro épico? </w:t>
      </w:r>
      <w:r w:rsidR="00C97563" w:rsidRPr="009C258B">
        <w:t>De início, devemos observar que ele</w:t>
      </w:r>
      <w:r w:rsidRPr="009C258B">
        <w:t xml:space="preserve"> não vê o teatro épico como </w:t>
      </w:r>
      <w:r w:rsidR="00C97563" w:rsidRPr="009C258B">
        <w:t xml:space="preserve">uma </w:t>
      </w:r>
      <w:r w:rsidRPr="009C258B">
        <w:t>forma antitética em relação ao teatro tradicional (justamente o que o quadro de 1930 havia sugerido para muitos críticos), mas antes como uma forma alternativa</w:t>
      </w:r>
      <w:r w:rsidR="00C97563" w:rsidRPr="009C258B">
        <w:t xml:space="preserve"> em relação a ele:</w:t>
      </w:r>
    </w:p>
    <w:p w14:paraId="214D1BDB" w14:textId="447E3F39" w:rsidR="00F93DBB" w:rsidRPr="009C258B" w:rsidRDefault="00F93DBB" w:rsidP="006077B4">
      <w:pPr>
        <w:pStyle w:val="Citao"/>
      </w:pPr>
      <w:r w:rsidRPr="009C258B">
        <w:t>Brecht coloca o seu teatro, enquanto épico, contra o teatro dramático em sentido estrito, cuja teoria Aristóteles formulou. Por isso, Brecht introduziu a dramaturgia correspondente enquanto não-aristotélica, como Riemann introduziu uma geometria não-euclidiana. Essa analogia pode esclarecer que não se trata de uma relação de concorrência entre as formas de palco em questão. Em Riemann, o axioma das paralelas desapareceu. Na dramaturgia brechtiana, o que se perdeu foi a catarse aristotélica, a descarga dos afetos por meio da empatia com o destino comovente do herói</w:t>
      </w:r>
      <w:r w:rsidR="00F30CE1" w:rsidRPr="009C258B">
        <w:t xml:space="preserve"> (Benjamin, 1991b, p. 534-535).</w:t>
      </w:r>
    </w:p>
    <w:p w14:paraId="26325B61" w14:textId="4D38171C" w:rsidR="00F93DBB" w:rsidRPr="009C258B" w:rsidRDefault="00F93DBB" w:rsidP="00B92D01">
      <w:r w:rsidRPr="009C258B">
        <w:lastRenderedPageBreak/>
        <w:t>O mais interessante</w:t>
      </w:r>
      <w:r w:rsidR="00095C37" w:rsidRPr="009C258B">
        <w:t xml:space="preserve"> nesta analogia</w:t>
      </w:r>
      <w:r w:rsidRPr="009C258B">
        <w:t xml:space="preserve"> é o fato de que, </w:t>
      </w:r>
      <w:proofErr w:type="gramStart"/>
      <w:r w:rsidRPr="009C258B">
        <w:t>no momento em que</w:t>
      </w:r>
      <w:proofErr w:type="gramEnd"/>
      <w:r w:rsidRPr="009C258B">
        <w:t xml:space="preserve"> Benjamin pretende dizer que não há </w:t>
      </w:r>
      <w:r w:rsidR="00095C37" w:rsidRPr="009C258B">
        <w:t>propria</w:t>
      </w:r>
      <w:r w:rsidRPr="009C258B">
        <w:t>mente uma oposição entre o teatro épico e o teatro tradicional</w:t>
      </w:r>
      <w:r w:rsidR="00095C37" w:rsidRPr="009C258B">
        <w:t xml:space="preserve"> (como não há oposição entre as geometrias não-euclidianas e a geometria de Euclides)</w:t>
      </w:r>
      <w:r w:rsidRPr="009C258B">
        <w:t xml:space="preserve">, ele invoca </w:t>
      </w:r>
      <w:r w:rsidRPr="009C258B">
        <w:rPr>
          <w:i/>
          <w:iCs/>
        </w:rPr>
        <w:t xml:space="preserve">justamente </w:t>
      </w:r>
      <w:r w:rsidRPr="009C258B">
        <w:t xml:space="preserve">a catarse e a empatia como elementos fundamentais da </w:t>
      </w:r>
      <w:r w:rsidR="00765CB1" w:rsidRPr="009C258B">
        <w:t>diferenciação</w:t>
      </w:r>
      <w:r w:rsidR="00765CB1" w:rsidRPr="009C258B">
        <w:rPr>
          <w:i/>
          <w:iCs/>
        </w:rPr>
        <w:t xml:space="preserve"> </w:t>
      </w:r>
      <w:r w:rsidRPr="009C258B">
        <w:t xml:space="preserve">entre o novo teatro e o anterior. Se a catarse e a empatia são os elementos diferenciais </w:t>
      </w:r>
      <w:r w:rsidR="00095C37" w:rsidRPr="009C258B">
        <w:t>em relação ao</w:t>
      </w:r>
      <w:r w:rsidRPr="009C258B">
        <w:t xml:space="preserve"> teatro tradicional, isso pode significar que Benjamin considerava os elementos “</w:t>
      </w:r>
      <w:proofErr w:type="spellStart"/>
      <w:r w:rsidRPr="009C258B">
        <w:t>anticatártico</w:t>
      </w:r>
      <w:proofErr w:type="spellEnd"/>
      <w:r w:rsidRPr="009C258B">
        <w:t>” e “</w:t>
      </w:r>
      <w:proofErr w:type="spellStart"/>
      <w:r w:rsidRPr="009C258B">
        <w:t>antiempático</w:t>
      </w:r>
      <w:proofErr w:type="spellEnd"/>
      <w:r w:rsidRPr="009C258B">
        <w:t xml:space="preserve">” como os traços </w:t>
      </w:r>
      <w:r w:rsidRPr="009C258B">
        <w:rPr>
          <w:i/>
          <w:iCs/>
        </w:rPr>
        <w:t>distintivos</w:t>
      </w:r>
      <w:r w:rsidRPr="009C258B">
        <w:t xml:space="preserve"> e </w:t>
      </w:r>
      <w:r w:rsidRPr="009C258B">
        <w:rPr>
          <w:i/>
          <w:iCs/>
        </w:rPr>
        <w:t>fundamentais</w:t>
      </w:r>
      <w:r w:rsidRPr="009C258B">
        <w:t xml:space="preserve"> do teatro épico. A favor de sua interpretação, podemos </w:t>
      </w:r>
      <w:r w:rsidR="005031B0" w:rsidRPr="009C258B">
        <w:t>lembrar</w:t>
      </w:r>
      <w:r w:rsidRPr="009C258B">
        <w:t xml:space="preserve"> o fato de que esses</w:t>
      </w:r>
      <w:r w:rsidR="00A02C87" w:rsidRPr="009C258B">
        <w:t xml:space="preserve"> são</w:t>
      </w:r>
      <w:r w:rsidRPr="009C258B">
        <w:t xml:space="preserve"> os elementos que Brecht apresenta </w:t>
      </w:r>
      <w:r w:rsidRPr="009C258B">
        <w:rPr>
          <w:i/>
          <w:iCs/>
        </w:rPr>
        <w:t>em primeiro lugar</w:t>
      </w:r>
      <w:r w:rsidRPr="009C258B">
        <w:t xml:space="preserve"> nas duas versões do seu célebre quadro comparativo.</w:t>
      </w:r>
    </w:p>
    <w:p w14:paraId="0A92272B" w14:textId="7BDB7DC9" w:rsidR="00AB2DF9" w:rsidRPr="009C258B" w:rsidRDefault="00F93DBB" w:rsidP="00B92D01">
      <w:r w:rsidRPr="009C258B">
        <w:t>Benjamin fala outras vezes sobre a empatia nos ensaios sobre Brecht</w:t>
      </w:r>
      <w:r w:rsidR="00F111C7" w:rsidRPr="009C258B">
        <w:t xml:space="preserve">, </w:t>
      </w:r>
      <w:r w:rsidR="00AB2DF9" w:rsidRPr="009C258B">
        <w:t>principalmente, no ensaio “O país em que o proletariado não pode ser mencionado” (1938)</w:t>
      </w:r>
      <w:r w:rsidR="00F111C7" w:rsidRPr="009C258B">
        <w:t xml:space="preserve">, mas o tratamento mais amplo sobre o tema é a segunda “versão” do ensaio intitulado “O que é teatro épico”. </w:t>
      </w:r>
      <w:r w:rsidR="00AB2DF9" w:rsidRPr="009C258B">
        <w:t>Não por acaso, este último texto</w:t>
      </w:r>
      <w:r w:rsidR="00F111C7" w:rsidRPr="009C258B">
        <w:t xml:space="preserve"> em</w:t>
      </w:r>
      <w:r w:rsidR="00AB2DF9" w:rsidRPr="009C258B">
        <w:t xml:space="preserve"> foi escrito</w:t>
      </w:r>
      <w:r w:rsidR="00F111C7" w:rsidRPr="009C258B">
        <w:t xml:space="preserve"> em 1939,</w:t>
      </w:r>
      <w:r w:rsidR="00AB2DF9" w:rsidRPr="009C258B">
        <w:t xml:space="preserve"> pouco antes das teses de 1940, que cont</w:t>
      </w:r>
      <w:r w:rsidR="00A66954">
        <w:t>ê</w:t>
      </w:r>
      <w:r w:rsidR="00AB2DF9" w:rsidRPr="009C258B">
        <w:t xml:space="preserve">m a afirmação mais relevante de Benjamin sobre </w:t>
      </w:r>
      <w:r w:rsidR="00F111C7" w:rsidRPr="009C258B">
        <w:t>a empatia.</w:t>
      </w:r>
    </w:p>
    <w:bookmarkEnd w:id="7"/>
    <w:p w14:paraId="2B809848" w14:textId="77777777" w:rsidR="00AB2DF9" w:rsidRPr="009C258B" w:rsidRDefault="00AB2DF9" w:rsidP="00061A0F">
      <w:pPr>
        <w:autoSpaceDE w:val="0"/>
        <w:autoSpaceDN w:val="0"/>
        <w:adjustRightInd w:val="0"/>
        <w:contextualSpacing/>
        <w:mirrorIndents/>
        <w:rPr>
          <w:rFonts w:eastAsia="Calibri" w:cs="Times New Roman"/>
          <w:szCs w:val="24"/>
        </w:rPr>
      </w:pPr>
    </w:p>
    <w:p w14:paraId="707EE41C" w14:textId="2E758873" w:rsidR="00AB2DF9" w:rsidRPr="009C258B" w:rsidRDefault="00AB2DF9" w:rsidP="00B92D01">
      <w:pPr>
        <w:pStyle w:val="Ttulo1"/>
      </w:pPr>
      <w:r w:rsidRPr="009C258B">
        <w:t>Da crítica estético-política do teatro à epistemologia política da história</w:t>
      </w:r>
    </w:p>
    <w:p w14:paraId="107FE9A5" w14:textId="6E006423" w:rsidR="00D24224" w:rsidRPr="009C258B" w:rsidRDefault="00F93DBB" w:rsidP="00B92D01">
      <w:r w:rsidRPr="009C258B">
        <w:t xml:space="preserve">Devemos mostrar, agora, como essa crítica estético-teatral da empatia inspira uma crítica </w:t>
      </w:r>
      <w:r w:rsidR="005031B0" w:rsidRPr="009C258B">
        <w:t>epistemológica da escrita da história</w:t>
      </w:r>
      <w:r w:rsidRPr="009C258B">
        <w:t xml:space="preserve">. </w:t>
      </w:r>
      <w:r w:rsidR="005031B0" w:rsidRPr="009C258B">
        <w:t>As duas críticas t</w:t>
      </w:r>
      <w:r w:rsidR="00A02C87" w:rsidRPr="009C258B">
        <w:t>ê</w:t>
      </w:r>
      <w:r w:rsidR="005031B0" w:rsidRPr="009C258B">
        <w:t>m em comum a mesma inspiração política, mas a segunda crítica é mais radical. S</w:t>
      </w:r>
      <w:r w:rsidR="00D24224" w:rsidRPr="009C258B">
        <w:t xml:space="preserve">e antes </w:t>
      </w:r>
      <w:r w:rsidR="001A62F7" w:rsidRPr="009C258B">
        <w:t>o afastamento do teatro épico em relação ao teatro tradicional criava uma espécie de via</w:t>
      </w:r>
      <w:r w:rsidR="00D24224" w:rsidRPr="009C258B">
        <w:t xml:space="preserve"> alternativa </w:t>
      </w:r>
      <w:r w:rsidR="001A62F7" w:rsidRPr="009C258B">
        <w:t xml:space="preserve">em relação à tradição </w:t>
      </w:r>
      <w:r w:rsidR="00D24224" w:rsidRPr="009C258B">
        <w:t>(como a via aberta por uma geometria não euclidiana</w:t>
      </w:r>
      <w:r w:rsidR="001A62F7" w:rsidRPr="009C258B">
        <w:t xml:space="preserve"> na matemática</w:t>
      </w:r>
      <w:r w:rsidR="00D24224" w:rsidRPr="009C258B">
        <w:t xml:space="preserve">), agora há uma oposição não reconciliável </w:t>
      </w:r>
      <w:r w:rsidR="001A62F7" w:rsidRPr="009C258B">
        <w:t>entre duas tradições que se opõe</w:t>
      </w:r>
      <w:r w:rsidR="00D6688B" w:rsidRPr="009C258B">
        <w:t>m</w:t>
      </w:r>
      <w:r w:rsidR="001A62F7" w:rsidRPr="009C258B">
        <w:t xml:space="preserve"> e se excluem necessariamente, sem a possibilidade de uma mediação: a “tradição dos </w:t>
      </w:r>
      <w:r w:rsidR="007D7F2E" w:rsidRPr="009C258B">
        <w:t>opressores</w:t>
      </w:r>
      <w:r w:rsidR="001A62F7" w:rsidRPr="009C258B">
        <w:t>”, que escreve a hist</w:t>
      </w:r>
      <w:r w:rsidR="00CC49E7" w:rsidRPr="009C258B">
        <w:t>ó</w:t>
      </w:r>
      <w:r w:rsidR="001A62F7" w:rsidRPr="009C258B">
        <w:t>ria a partir da per</w:t>
      </w:r>
      <w:r w:rsidR="00CC49E7" w:rsidRPr="009C258B">
        <w:t>s</w:t>
      </w:r>
      <w:r w:rsidR="001A62F7" w:rsidRPr="009C258B">
        <w:t>pect</w:t>
      </w:r>
      <w:r w:rsidR="00CC49E7" w:rsidRPr="009C258B">
        <w:t>i</w:t>
      </w:r>
      <w:r w:rsidR="001A62F7" w:rsidRPr="009C258B">
        <w:t xml:space="preserve">va da </w:t>
      </w:r>
      <w:r w:rsidR="00F35D43" w:rsidRPr="009C258B">
        <w:t xml:space="preserve">mera acumulação de dados e da </w:t>
      </w:r>
      <w:r w:rsidR="001A62F7" w:rsidRPr="009C258B">
        <w:t>empatia</w:t>
      </w:r>
      <w:r w:rsidR="00F35D43" w:rsidRPr="009C258B">
        <w:t xml:space="preserve"> entre o historiador e seu objeto</w:t>
      </w:r>
      <w:r w:rsidR="001A62F7" w:rsidRPr="009C258B">
        <w:t xml:space="preserve">, e a </w:t>
      </w:r>
      <w:r w:rsidR="00CC49E7" w:rsidRPr="009C258B">
        <w:t>“</w:t>
      </w:r>
      <w:r w:rsidR="001A62F7" w:rsidRPr="009C258B">
        <w:t xml:space="preserve">tradição dos </w:t>
      </w:r>
      <w:r w:rsidR="007D7F2E" w:rsidRPr="009C258B">
        <w:t>oprimidos</w:t>
      </w:r>
      <w:r w:rsidR="00CC49E7" w:rsidRPr="009C258B">
        <w:t>”</w:t>
      </w:r>
      <w:r w:rsidR="007D7F2E" w:rsidRPr="009C258B">
        <w:rPr>
          <w:rStyle w:val="Refdenotaderodap"/>
          <w:rFonts w:eastAsia="Calibri" w:cs="Times New Roman"/>
          <w:szCs w:val="24"/>
        </w:rPr>
        <w:footnoteReference w:id="23"/>
      </w:r>
      <w:r w:rsidR="001A62F7" w:rsidRPr="009C258B">
        <w:t>, que recusa a empatia</w:t>
      </w:r>
      <w:r w:rsidR="00F35D43" w:rsidRPr="009C258B">
        <w:t xml:space="preserve"> e a mera acumulação de dados</w:t>
      </w:r>
      <w:r w:rsidR="001A62F7" w:rsidRPr="009C258B">
        <w:t xml:space="preserve"> e p</w:t>
      </w:r>
      <w:r w:rsidR="00861CC6" w:rsidRPr="009C258B">
        <w:t>arte de</w:t>
      </w:r>
      <w:r w:rsidR="007D7F2E" w:rsidRPr="009C258B">
        <w:t xml:space="preserve"> um “princípio </w:t>
      </w:r>
      <w:r w:rsidR="001A62F7" w:rsidRPr="009C258B">
        <w:t>construtivo</w:t>
      </w:r>
      <w:r w:rsidR="007D7F2E" w:rsidRPr="009C258B">
        <w:t>”</w:t>
      </w:r>
      <w:r w:rsidR="007D7F2E" w:rsidRPr="009C258B">
        <w:rPr>
          <w:rStyle w:val="Refdenotaderodap"/>
          <w:rFonts w:eastAsia="Calibri" w:cs="Times New Roman"/>
          <w:szCs w:val="24"/>
        </w:rPr>
        <w:footnoteReference w:id="24"/>
      </w:r>
      <w:r w:rsidR="001A62F7" w:rsidRPr="009C258B">
        <w:t xml:space="preserve"> </w:t>
      </w:r>
      <w:r w:rsidR="00F35D43" w:rsidRPr="009C258B">
        <w:t>que</w:t>
      </w:r>
      <w:r w:rsidR="00A02C87" w:rsidRPr="009C258B">
        <w:t xml:space="preserve"> visa</w:t>
      </w:r>
      <w:r w:rsidR="00F35D43" w:rsidRPr="009C258B">
        <w:t xml:space="preserve"> cria</w:t>
      </w:r>
      <w:r w:rsidR="00A02C87" w:rsidRPr="009C258B">
        <w:t>r</w:t>
      </w:r>
      <w:r w:rsidR="00F35D43" w:rsidRPr="009C258B">
        <w:t xml:space="preserve"> uma distância reflexiva entre o historiador e seu objeto.</w:t>
      </w:r>
    </w:p>
    <w:p w14:paraId="120EB63A" w14:textId="200E940B" w:rsidR="00F93DBB" w:rsidRPr="009C258B" w:rsidRDefault="001A62F7" w:rsidP="00B92D01">
      <w:pPr>
        <w:rPr>
          <w:rFonts w:eastAsia="Times New Roman"/>
          <w:color w:val="000000"/>
        </w:rPr>
      </w:pPr>
      <w:r w:rsidRPr="009C258B">
        <w:t xml:space="preserve">Essa crítica radical da empatia encontra-se </w:t>
      </w:r>
      <w:r w:rsidR="007B42CE" w:rsidRPr="009C258B">
        <w:t>p</w:t>
      </w:r>
      <w:r w:rsidR="00383B97" w:rsidRPr="009C258B">
        <w:t>r</w:t>
      </w:r>
      <w:r w:rsidR="007B42CE" w:rsidRPr="009C258B">
        <w:t>incipalmente</w:t>
      </w:r>
      <w:r w:rsidR="00A14D14" w:rsidRPr="009C258B">
        <w:t xml:space="preserve"> na</w:t>
      </w:r>
      <w:r w:rsidR="00F93DBB" w:rsidRPr="009C258B">
        <w:t xml:space="preserve"> </w:t>
      </w:r>
      <w:r w:rsidR="00A14D14" w:rsidRPr="009C258B">
        <w:t xml:space="preserve">sétima </w:t>
      </w:r>
      <w:r w:rsidR="00F93DBB" w:rsidRPr="009C258B">
        <w:t xml:space="preserve">tese de “Sobre o conceito de história”, em um momento decisivo para a crítica benjaminiana do historicismo </w:t>
      </w:r>
      <w:r w:rsidR="00F93DBB" w:rsidRPr="009C258B">
        <w:lastRenderedPageBreak/>
        <w:t>conservador</w:t>
      </w:r>
      <w:r w:rsidR="00380F03">
        <w:rPr>
          <w:rStyle w:val="Refdenotaderodap"/>
          <w:rFonts w:eastAsia="Calibri" w:cs="Times New Roman"/>
          <w:szCs w:val="24"/>
        </w:rPr>
        <w:footnoteReference w:id="25"/>
      </w:r>
      <w:r w:rsidR="00AB796C">
        <w:t>.</w:t>
      </w:r>
      <w:r w:rsidR="00F93DBB" w:rsidRPr="009C258B">
        <w:t xml:space="preserve"> </w:t>
      </w:r>
      <w:r w:rsidR="00F93DBB" w:rsidRPr="009C258B">
        <w:rPr>
          <w:rFonts w:eastAsia="Times New Roman"/>
          <w:color w:val="000000"/>
        </w:rPr>
        <w:t>Na perspectiva de Benjamin, os historicistas idealistas</w:t>
      </w:r>
      <w:r w:rsidR="007B42CE" w:rsidRPr="009C258B">
        <w:rPr>
          <w:rFonts w:eastAsia="Times New Roman"/>
          <w:color w:val="000000"/>
        </w:rPr>
        <w:t xml:space="preserve"> </w:t>
      </w:r>
      <w:r w:rsidR="00F93DBB" w:rsidRPr="009C258B">
        <w:rPr>
          <w:rFonts w:eastAsia="Times New Roman"/>
          <w:color w:val="000000"/>
        </w:rPr>
        <w:t>possuem uma nostalgia</w:t>
      </w:r>
      <w:r w:rsidR="007B1A58" w:rsidRPr="009C258B">
        <w:rPr>
          <w:rFonts w:eastAsia="Times New Roman"/>
          <w:color w:val="000000"/>
        </w:rPr>
        <w:t xml:space="preserve"> </w:t>
      </w:r>
      <w:proofErr w:type="spellStart"/>
      <w:r w:rsidR="007B1A58" w:rsidRPr="009C258B">
        <w:rPr>
          <w:rFonts w:eastAsia="Times New Roman"/>
          <w:color w:val="000000"/>
        </w:rPr>
        <w:t>pré</w:t>
      </w:r>
      <w:proofErr w:type="spellEnd"/>
      <w:r w:rsidR="007B1A58" w:rsidRPr="009C258B">
        <w:rPr>
          <w:rFonts w:eastAsia="Times New Roman"/>
          <w:color w:val="000000"/>
        </w:rPr>
        <w:t>-reflexiva</w:t>
      </w:r>
      <w:r w:rsidR="00F93DBB" w:rsidRPr="009C258B">
        <w:rPr>
          <w:rFonts w:eastAsia="Times New Roman"/>
          <w:color w:val="000000"/>
        </w:rPr>
        <w:t xml:space="preserve"> da</w:t>
      </w:r>
      <w:r w:rsidR="00925378" w:rsidRPr="009C258B">
        <w:rPr>
          <w:rFonts w:eastAsia="Times New Roman"/>
          <w:color w:val="000000"/>
        </w:rPr>
        <w:t xml:space="preserve"> noção tradicional de</w:t>
      </w:r>
      <w:r w:rsidR="00F93DBB" w:rsidRPr="009C258B">
        <w:rPr>
          <w:rFonts w:eastAsia="Times New Roman"/>
          <w:color w:val="000000"/>
        </w:rPr>
        <w:t xml:space="preserve"> </w:t>
      </w:r>
      <w:r w:rsidR="00925378" w:rsidRPr="009C258B">
        <w:rPr>
          <w:rFonts w:eastAsia="Times New Roman"/>
          <w:color w:val="000000"/>
        </w:rPr>
        <w:t>“</w:t>
      </w:r>
      <w:r w:rsidR="00F93DBB" w:rsidRPr="009C258B">
        <w:rPr>
          <w:rFonts w:eastAsia="Times New Roman"/>
          <w:color w:val="000000"/>
        </w:rPr>
        <w:t>experiência</w:t>
      </w:r>
      <w:r w:rsidR="00925378" w:rsidRPr="009C258B">
        <w:rPr>
          <w:rFonts w:eastAsia="Times New Roman"/>
          <w:color w:val="000000"/>
        </w:rPr>
        <w:t>”</w:t>
      </w:r>
      <w:r w:rsidR="00DB0852" w:rsidRPr="009C258B">
        <w:rPr>
          <w:rFonts w:eastAsia="Times New Roman"/>
          <w:color w:val="000000"/>
        </w:rPr>
        <w:t xml:space="preserve"> </w:t>
      </w:r>
      <w:r w:rsidR="00925378" w:rsidRPr="009C258B">
        <w:rPr>
          <w:rFonts w:eastAsia="Times New Roman"/>
          <w:color w:val="000000"/>
        </w:rPr>
        <w:t>(</w:t>
      </w:r>
      <w:proofErr w:type="spellStart"/>
      <w:r w:rsidR="00DB0852" w:rsidRPr="009C258B">
        <w:rPr>
          <w:rFonts w:eastAsia="Times New Roman"/>
          <w:i/>
          <w:iCs/>
          <w:color w:val="000000"/>
        </w:rPr>
        <w:t>Erfahrung</w:t>
      </w:r>
      <w:proofErr w:type="spellEnd"/>
      <w:r w:rsidR="00DB0852" w:rsidRPr="009C258B">
        <w:rPr>
          <w:rFonts w:eastAsia="Times New Roman"/>
          <w:color w:val="000000"/>
        </w:rPr>
        <w:t>,</w:t>
      </w:r>
      <w:r w:rsidR="00F93DBB" w:rsidRPr="009C258B">
        <w:rPr>
          <w:rFonts w:eastAsia="Times New Roman"/>
          <w:color w:val="000000"/>
        </w:rPr>
        <w:t xml:space="preserve"> </w:t>
      </w:r>
      <w:r w:rsidR="00DB0852" w:rsidRPr="009C258B">
        <w:rPr>
          <w:rFonts w:eastAsia="Times New Roman"/>
          <w:color w:val="000000"/>
        </w:rPr>
        <w:t xml:space="preserve">no </w:t>
      </w:r>
      <w:r w:rsidR="00F93DBB" w:rsidRPr="009C258B">
        <w:rPr>
          <w:rFonts w:eastAsia="Times New Roman"/>
          <w:color w:val="000000"/>
        </w:rPr>
        <w:t>sentido especificamente benjaminiano d</w:t>
      </w:r>
      <w:r w:rsidR="007B42CE" w:rsidRPr="009C258B">
        <w:rPr>
          <w:rFonts w:eastAsia="Times New Roman"/>
          <w:color w:val="000000"/>
        </w:rPr>
        <w:t xml:space="preserve">este </w:t>
      </w:r>
      <w:r w:rsidR="00F93DBB" w:rsidRPr="009C258B">
        <w:rPr>
          <w:rFonts w:eastAsia="Times New Roman"/>
          <w:color w:val="000000"/>
        </w:rPr>
        <w:t>termo).</w:t>
      </w:r>
      <w:r w:rsidR="009C258B" w:rsidRPr="009C258B">
        <w:rPr>
          <w:rStyle w:val="Refdenotaderodap"/>
          <w:rFonts w:eastAsia="Times New Roman" w:cs="Times New Roman"/>
          <w:color w:val="000000"/>
          <w:szCs w:val="24"/>
        </w:rPr>
        <w:footnoteReference w:id="26"/>
      </w:r>
      <w:r w:rsidR="00F93DBB" w:rsidRPr="009C258B">
        <w:rPr>
          <w:rFonts w:eastAsia="Times New Roman"/>
          <w:color w:val="000000"/>
        </w:rPr>
        <w:t xml:space="preserve"> </w:t>
      </w:r>
      <w:r w:rsidR="007B42CE" w:rsidRPr="009C258B">
        <w:rPr>
          <w:rFonts w:eastAsia="Times New Roman"/>
          <w:color w:val="000000"/>
        </w:rPr>
        <w:t xml:space="preserve">Autores como </w:t>
      </w:r>
      <w:r w:rsidR="00383B97" w:rsidRPr="009C258B">
        <w:rPr>
          <w:rFonts w:eastAsia="Times New Roman"/>
          <w:color w:val="000000"/>
        </w:rPr>
        <w:t xml:space="preserve">Leopold von </w:t>
      </w:r>
      <w:proofErr w:type="spellStart"/>
      <w:r w:rsidR="007B42CE" w:rsidRPr="009C258B">
        <w:rPr>
          <w:rFonts w:eastAsia="Times New Roman"/>
          <w:color w:val="000000"/>
        </w:rPr>
        <w:t>Ranke</w:t>
      </w:r>
      <w:proofErr w:type="spellEnd"/>
      <w:r w:rsidR="00383B97" w:rsidRPr="009C258B">
        <w:rPr>
          <w:rFonts w:eastAsia="Times New Roman"/>
          <w:color w:val="000000"/>
        </w:rPr>
        <w:t xml:space="preserve"> e Johann Gustav </w:t>
      </w:r>
      <w:proofErr w:type="spellStart"/>
      <w:r w:rsidR="00383B97" w:rsidRPr="009C258B">
        <w:rPr>
          <w:rFonts w:eastAsia="Times New Roman"/>
          <w:color w:val="000000"/>
        </w:rPr>
        <w:t>D</w:t>
      </w:r>
      <w:r w:rsidR="007B42CE" w:rsidRPr="009C258B">
        <w:rPr>
          <w:rFonts w:eastAsia="Times New Roman"/>
          <w:color w:val="000000"/>
        </w:rPr>
        <w:t>roysen</w:t>
      </w:r>
      <w:proofErr w:type="spellEnd"/>
      <w:r w:rsidR="007B42CE" w:rsidRPr="009C258B">
        <w:rPr>
          <w:rFonts w:eastAsia="Times New Roman"/>
          <w:color w:val="000000"/>
        </w:rPr>
        <w:t xml:space="preserve"> </w:t>
      </w:r>
      <w:r w:rsidR="00F93DBB" w:rsidRPr="009C258B">
        <w:rPr>
          <w:rFonts w:eastAsia="Times New Roman"/>
          <w:color w:val="000000"/>
        </w:rPr>
        <w:t>não teria</w:t>
      </w:r>
      <w:r w:rsidR="00383B97" w:rsidRPr="009C258B">
        <w:rPr>
          <w:rFonts w:eastAsia="Times New Roman"/>
          <w:color w:val="000000"/>
        </w:rPr>
        <w:t>m</w:t>
      </w:r>
      <w:r w:rsidR="00F93DBB" w:rsidRPr="009C258B">
        <w:rPr>
          <w:rFonts w:eastAsia="Times New Roman"/>
          <w:color w:val="000000"/>
        </w:rPr>
        <w:t xml:space="preserve"> atentado para uma situação epocal que constitui um dos elementos básicos do diagnóstico benjaminiano da modernidade: o fato de que a experiência coletiva tradicional </w:t>
      </w:r>
      <w:r w:rsidR="00F75CE6" w:rsidRPr="009C258B">
        <w:rPr>
          <w:rFonts w:eastAsia="Times New Roman"/>
          <w:color w:val="000000"/>
        </w:rPr>
        <w:t xml:space="preserve">(que Benjamin, </w:t>
      </w:r>
      <w:r w:rsidR="00861CC6" w:rsidRPr="009C258B">
        <w:rPr>
          <w:rFonts w:eastAsia="Times New Roman"/>
          <w:color w:val="000000"/>
        </w:rPr>
        <w:t>a partir de 1933</w:t>
      </w:r>
      <w:r w:rsidR="00861CC6" w:rsidRPr="009C258B">
        <w:rPr>
          <w:rStyle w:val="Refdenotaderodap"/>
          <w:rFonts w:eastAsia="Times New Roman" w:cs="Times New Roman"/>
          <w:color w:val="000000"/>
          <w:szCs w:val="24"/>
        </w:rPr>
        <w:footnoteReference w:id="27"/>
      </w:r>
      <w:r w:rsidR="00AB796C">
        <w:rPr>
          <w:rFonts w:eastAsia="Times New Roman"/>
          <w:color w:val="000000"/>
        </w:rPr>
        <w:t>,</w:t>
      </w:r>
      <w:r w:rsidR="00F75CE6" w:rsidRPr="009C258B">
        <w:rPr>
          <w:rFonts w:eastAsia="Times New Roman"/>
          <w:color w:val="000000"/>
        </w:rPr>
        <w:t xml:space="preserve"> chama simplesmente de “experiência”) </w:t>
      </w:r>
      <w:r w:rsidR="00F93DBB" w:rsidRPr="009C258B">
        <w:rPr>
          <w:rFonts w:eastAsia="Times New Roman"/>
          <w:color w:val="000000"/>
        </w:rPr>
        <w:t xml:space="preserve">sofreu um profundo abalo no mundo urbano e industrial, tornando-se, fundamentalmente, experiência privada e subjetiva, ou seja, uma mera forma de “vivência” (termo </w:t>
      </w:r>
      <w:r w:rsidR="00DC659F" w:rsidRPr="009C258B">
        <w:rPr>
          <w:rFonts w:eastAsia="Times New Roman"/>
          <w:color w:val="000000"/>
        </w:rPr>
        <w:t>central em</w:t>
      </w:r>
      <w:r w:rsidR="00F93DBB" w:rsidRPr="009C258B">
        <w:rPr>
          <w:rFonts w:eastAsia="Times New Roman"/>
          <w:color w:val="000000"/>
        </w:rPr>
        <w:t xml:space="preserve"> Benjamin</w:t>
      </w:r>
      <w:r w:rsidR="00DC659F" w:rsidRPr="009C258B">
        <w:rPr>
          <w:rFonts w:eastAsia="Times New Roman"/>
          <w:color w:val="000000"/>
        </w:rPr>
        <w:t>, que ele</w:t>
      </w:r>
      <w:r w:rsidR="00F93DBB" w:rsidRPr="009C258B">
        <w:rPr>
          <w:rFonts w:eastAsia="Times New Roman"/>
          <w:color w:val="000000"/>
        </w:rPr>
        <w:t xml:space="preserve"> pode ter tomado emprestado </w:t>
      </w:r>
      <w:r w:rsidR="00F75CE6" w:rsidRPr="009C258B">
        <w:rPr>
          <w:rFonts w:eastAsia="Times New Roman"/>
          <w:color w:val="000000"/>
        </w:rPr>
        <w:t>de</w:t>
      </w:r>
      <w:r w:rsidR="00F93DBB" w:rsidRPr="009C258B">
        <w:rPr>
          <w:rFonts w:eastAsia="Times New Roman"/>
          <w:color w:val="000000"/>
        </w:rPr>
        <w:t xml:space="preserve"> </w:t>
      </w:r>
      <w:proofErr w:type="spellStart"/>
      <w:r w:rsidR="00F93DBB" w:rsidRPr="009C258B">
        <w:rPr>
          <w:rFonts w:eastAsia="Times New Roman"/>
          <w:color w:val="000000"/>
        </w:rPr>
        <w:t>Dilthey</w:t>
      </w:r>
      <w:proofErr w:type="spellEnd"/>
      <w:r w:rsidR="00DC659F" w:rsidRPr="009C258B">
        <w:rPr>
          <w:rFonts w:eastAsia="Times New Roman"/>
          <w:color w:val="000000"/>
        </w:rPr>
        <w:t xml:space="preserve">, mas também, como </w:t>
      </w:r>
      <w:r w:rsidR="00383B97" w:rsidRPr="009C258B">
        <w:rPr>
          <w:rFonts w:eastAsia="Times New Roman"/>
          <w:color w:val="000000"/>
        </w:rPr>
        <w:t>já vimos</w:t>
      </w:r>
      <w:r w:rsidR="00DC659F" w:rsidRPr="009C258B">
        <w:rPr>
          <w:rFonts w:eastAsia="Times New Roman"/>
          <w:color w:val="000000"/>
        </w:rPr>
        <w:t>, de Brecht</w:t>
      </w:r>
      <w:r w:rsidR="00F93DBB" w:rsidRPr="009C258B">
        <w:rPr>
          <w:rFonts w:eastAsia="Times New Roman"/>
          <w:color w:val="000000"/>
        </w:rPr>
        <w:t xml:space="preserve">). </w:t>
      </w:r>
      <w:r w:rsidR="008D490D" w:rsidRPr="009C258B">
        <w:rPr>
          <w:rFonts w:eastAsia="Times New Roman"/>
          <w:color w:val="000000"/>
        </w:rPr>
        <w:t>Sendo assim, Benjamin tendia a ver as teorias da compreensão</w:t>
      </w:r>
      <w:r w:rsidR="009452D5" w:rsidRPr="009C258B">
        <w:rPr>
          <w:rFonts w:eastAsia="Times New Roman"/>
          <w:color w:val="000000"/>
        </w:rPr>
        <w:t xml:space="preserve"> </w:t>
      </w:r>
      <w:r w:rsidR="009452D5" w:rsidRPr="009C258B">
        <w:rPr>
          <w:color w:val="000000"/>
        </w:rPr>
        <w:t>(</w:t>
      </w:r>
      <w:proofErr w:type="spellStart"/>
      <w:r w:rsidR="009452D5" w:rsidRPr="009C258B">
        <w:rPr>
          <w:i/>
          <w:iCs/>
          <w:color w:val="000000"/>
        </w:rPr>
        <w:t>Verstehen</w:t>
      </w:r>
      <w:proofErr w:type="spellEnd"/>
      <w:r w:rsidR="009452D5" w:rsidRPr="009C258B">
        <w:rPr>
          <w:color w:val="000000"/>
        </w:rPr>
        <w:t>)</w:t>
      </w:r>
      <w:r w:rsidR="008D490D" w:rsidRPr="009C258B">
        <w:rPr>
          <w:rFonts w:eastAsia="Times New Roman"/>
          <w:color w:val="000000"/>
        </w:rPr>
        <w:t xml:space="preserve"> no historicismo conservador (como a teoria da</w:t>
      </w:r>
      <w:r w:rsidR="00F93DBB" w:rsidRPr="009C258B">
        <w:rPr>
          <w:rFonts w:eastAsia="Times New Roman"/>
          <w:color w:val="000000"/>
        </w:rPr>
        <w:t xml:space="preserve"> “revivência” de </w:t>
      </w:r>
      <w:proofErr w:type="spellStart"/>
      <w:r w:rsidR="00F93DBB" w:rsidRPr="009C258B">
        <w:rPr>
          <w:rFonts w:eastAsia="Times New Roman"/>
          <w:color w:val="000000"/>
        </w:rPr>
        <w:t>Dilthey</w:t>
      </w:r>
      <w:proofErr w:type="spellEnd"/>
      <w:r w:rsidR="008D490D" w:rsidRPr="009C258B">
        <w:rPr>
          <w:rFonts w:eastAsia="Times New Roman"/>
          <w:color w:val="000000"/>
        </w:rPr>
        <w:t>)</w:t>
      </w:r>
      <w:r w:rsidR="001A13DE" w:rsidRPr="009C258B">
        <w:rPr>
          <w:rStyle w:val="Refdenotaderodap"/>
          <w:rFonts w:eastAsia="Times New Roman" w:cs="Times New Roman"/>
          <w:color w:val="000000"/>
          <w:szCs w:val="24"/>
        </w:rPr>
        <w:footnoteReference w:id="28"/>
      </w:r>
      <w:r w:rsidR="00F93DBB" w:rsidRPr="009C258B">
        <w:rPr>
          <w:rFonts w:eastAsia="Times New Roman"/>
          <w:color w:val="000000"/>
        </w:rPr>
        <w:t xml:space="preserve"> como uma espécie de ilusão </w:t>
      </w:r>
      <w:r w:rsidR="007055ED" w:rsidRPr="009C258B">
        <w:rPr>
          <w:rFonts w:eastAsia="Times New Roman"/>
          <w:color w:val="000000"/>
        </w:rPr>
        <w:t>nostálgica que se transmutou em metodologia científica</w:t>
      </w:r>
      <w:r w:rsidR="00F93DBB" w:rsidRPr="009C258B">
        <w:rPr>
          <w:rFonts w:eastAsia="Times New Roman"/>
          <w:color w:val="000000"/>
        </w:rPr>
        <w:t>, ou seja, como uma nostalgia que não se vê como tal</w:t>
      </w:r>
      <w:r w:rsidR="007B1A58" w:rsidRPr="009C258B">
        <w:rPr>
          <w:rFonts w:eastAsia="Times New Roman"/>
          <w:color w:val="000000"/>
        </w:rPr>
        <w:t>, uma vez que estaria transmutada na crença na existência</w:t>
      </w:r>
      <w:r w:rsidR="008B32A3" w:rsidRPr="009C258B">
        <w:rPr>
          <w:rFonts w:eastAsia="Times New Roman"/>
          <w:color w:val="000000"/>
        </w:rPr>
        <w:t xml:space="preserve"> integral</w:t>
      </w:r>
      <w:r w:rsidR="007B1A58" w:rsidRPr="009C258B">
        <w:rPr>
          <w:rFonts w:eastAsia="Times New Roman"/>
          <w:color w:val="000000"/>
        </w:rPr>
        <w:t xml:space="preserve"> de um elemento</w:t>
      </w:r>
      <w:r w:rsidR="007055ED" w:rsidRPr="009C258B">
        <w:rPr>
          <w:rFonts w:eastAsia="Times New Roman"/>
          <w:color w:val="000000"/>
        </w:rPr>
        <w:t xml:space="preserve"> psíquico</w:t>
      </w:r>
      <w:r w:rsidR="007B1A58" w:rsidRPr="009C258B">
        <w:rPr>
          <w:rFonts w:eastAsia="Times New Roman"/>
          <w:color w:val="000000"/>
        </w:rPr>
        <w:t xml:space="preserve"> comum, </w:t>
      </w:r>
      <w:proofErr w:type="spellStart"/>
      <w:r w:rsidR="007B1A58" w:rsidRPr="009C258B">
        <w:rPr>
          <w:rFonts w:eastAsia="Times New Roman"/>
          <w:color w:val="000000"/>
        </w:rPr>
        <w:t>extra-individual</w:t>
      </w:r>
      <w:proofErr w:type="spellEnd"/>
      <w:r w:rsidR="007B1A58" w:rsidRPr="009C258B">
        <w:rPr>
          <w:rFonts w:eastAsia="Times New Roman"/>
          <w:color w:val="000000"/>
        </w:rPr>
        <w:t xml:space="preserve">, que estaria no fundamento </w:t>
      </w:r>
      <w:r w:rsidR="009452D5" w:rsidRPr="009C258B">
        <w:rPr>
          <w:rFonts w:eastAsia="Times New Roman"/>
          <w:color w:val="000000"/>
        </w:rPr>
        <w:t xml:space="preserve">da objetividade </w:t>
      </w:r>
      <w:r w:rsidR="007B1A58" w:rsidRPr="009C258B">
        <w:rPr>
          <w:rFonts w:eastAsia="Times New Roman"/>
          <w:color w:val="000000"/>
        </w:rPr>
        <w:t>das ciências do espírito</w:t>
      </w:r>
      <w:r w:rsidR="007B1A58" w:rsidRPr="009C258B">
        <w:rPr>
          <w:rStyle w:val="Refdenotaderodap"/>
          <w:rFonts w:eastAsia="Times New Roman" w:cs="Times New Roman"/>
          <w:color w:val="000000"/>
          <w:szCs w:val="24"/>
        </w:rPr>
        <w:footnoteReference w:id="29"/>
      </w:r>
      <w:r w:rsidR="00AB796C">
        <w:rPr>
          <w:rFonts w:eastAsia="Times New Roman"/>
          <w:color w:val="000000"/>
        </w:rPr>
        <w:t>.</w:t>
      </w:r>
    </w:p>
    <w:p w14:paraId="3C34640F" w14:textId="6A523140" w:rsidR="00F93DBB" w:rsidRPr="006077B4" w:rsidRDefault="006A5FA8" w:rsidP="00B92D01">
      <w:pPr>
        <w:rPr>
          <w:color w:val="auto"/>
        </w:rPr>
      </w:pPr>
      <w:r w:rsidRPr="009C258B">
        <w:t xml:space="preserve">Como </w:t>
      </w:r>
      <w:r w:rsidR="00925378" w:rsidRPr="009C258B">
        <w:t>o nosso foco aqui não é a</w:t>
      </w:r>
      <w:r w:rsidRPr="009C258B">
        <w:t xml:space="preserve"> crítica de Benjamin ao historicismo conservador em geral, </w:t>
      </w:r>
      <w:r w:rsidR="00D735F3" w:rsidRPr="009C258B">
        <w:t xml:space="preserve">mas apenas a forma como ele lê </w:t>
      </w:r>
      <w:proofErr w:type="spellStart"/>
      <w:r w:rsidR="00D735F3" w:rsidRPr="009C258B">
        <w:t>Dilthey</w:t>
      </w:r>
      <w:proofErr w:type="spellEnd"/>
      <w:r w:rsidR="00D735F3" w:rsidRPr="009C258B">
        <w:t xml:space="preserve">, </w:t>
      </w:r>
      <w:r w:rsidRPr="009C258B">
        <w:t xml:space="preserve">tomemos </w:t>
      </w:r>
      <w:r w:rsidR="00D735F3" w:rsidRPr="009C258B">
        <w:t xml:space="preserve">as </w:t>
      </w:r>
      <w:r w:rsidRPr="009C258B">
        <w:t>duas críticas</w:t>
      </w:r>
      <w:r w:rsidR="00F501F6" w:rsidRPr="009C258B">
        <w:t xml:space="preserve"> (uma implícita e outra explícita)</w:t>
      </w:r>
      <w:r w:rsidRPr="009C258B">
        <w:t xml:space="preserve"> que </w:t>
      </w:r>
      <w:r w:rsidR="00D735F3" w:rsidRPr="009C258B">
        <w:t>ele</w:t>
      </w:r>
      <w:r w:rsidRPr="009C258B">
        <w:t xml:space="preserve"> faz a</w:t>
      </w:r>
      <w:r w:rsidR="004E2E4D" w:rsidRPr="009C258B">
        <w:t xml:space="preserve"> </w:t>
      </w:r>
      <w:r w:rsidR="00D735F3" w:rsidRPr="009C258B">
        <w:t>este autor</w:t>
      </w:r>
      <w:r w:rsidR="00F93DBB" w:rsidRPr="009C258B">
        <w:t xml:space="preserve">. Na </w:t>
      </w:r>
      <w:r w:rsidRPr="009C258B">
        <w:t xml:space="preserve">mencionada </w:t>
      </w:r>
      <w:r w:rsidR="00F93DBB" w:rsidRPr="009C258B">
        <w:t>sétima tese do texto sobre o conceito de história, Benjamin escreveu:</w:t>
      </w:r>
    </w:p>
    <w:p w14:paraId="40EF6C8A" w14:textId="0E0F911E" w:rsidR="00F93DBB" w:rsidRPr="009C258B" w:rsidRDefault="00F93DBB" w:rsidP="006077B4">
      <w:pPr>
        <w:pStyle w:val="Citao"/>
      </w:pPr>
      <w:proofErr w:type="spellStart"/>
      <w:r w:rsidRPr="009C258B">
        <w:t>Fustel</w:t>
      </w:r>
      <w:proofErr w:type="spellEnd"/>
      <w:r w:rsidRPr="009C258B">
        <w:t xml:space="preserve"> de </w:t>
      </w:r>
      <w:proofErr w:type="spellStart"/>
      <w:r w:rsidRPr="009C258B">
        <w:t>Coulanges</w:t>
      </w:r>
      <w:proofErr w:type="spellEnd"/>
      <w:r w:rsidRPr="009C258B">
        <w:t xml:space="preserve"> recomenda ao historiador, caso queira </w:t>
      </w:r>
      <w:proofErr w:type="spellStart"/>
      <w:r w:rsidRPr="009C258B">
        <w:t>revivenciar</w:t>
      </w:r>
      <w:proofErr w:type="spellEnd"/>
      <w:r w:rsidRPr="009C258B">
        <w:t xml:space="preserve"> [</w:t>
      </w:r>
      <w:proofErr w:type="spellStart"/>
      <w:r w:rsidRPr="009C258B">
        <w:rPr>
          <w:i/>
        </w:rPr>
        <w:t>nacherleben</w:t>
      </w:r>
      <w:proofErr w:type="spellEnd"/>
      <w:r w:rsidRPr="009C258B">
        <w:t xml:space="preserve">] uma época, que tire da cabeça tudo o que sabe sobre o curso posterior da história. Não há como caracterizar melhor o procedimento com o qual rompeu o materialismo histórico. É um procedimento de empatia. Sua origem é a inércia do coração, a acedia, que desanima de apropriar-se da genuína imagem do passado, que brilha fugazmente. [...] A natureza dessa tristeza se tornará mais clara se colocarmos a questão sobre precisamente com quem o historiador do historicismo </w:t>
      </w:r>
      <w:r w:rsidR="00FE01A0" w:rsidRPr="009C258B">
        <w:t>tem</w:t>
      </w:r>
      <w:r w:rsidRPr="009C258B">
        <w:t xml:space="preserve"> </w:t>
      </w:r>
      <w:r w:rsidR="00FE01A0" w:rsidRPr="009C258B">
        <w:t>um</w:t>
      </w:r>
      <w:r w:rsidRPr="009C258B">
        <w:t xml:space="preserve">a relação de empatia. A resposta será, inequivocamente: com o vencedor. Os dominadores de cada época são, porém, os herdeiros de todos aqueles que já venceram. A empatia com o </w:t>
      </w:r>
      <w:r w:rsidRPr="009C258B">
        <w:lastRenderedPageBreak/>
        <w:t>vencedor beneficia sempre, portanto, os dominadores de cada época. Para o materialista histórico, isso diz o suficiente. Todos os que até agora venceram acompanham o cortejo triunfal que os dominadores atuais fazem passar sobre os que hoje estão prostrados. Os despojos, como acontece frequentemente, são levados juntos com o cortejo triunfal. Nós os caracterizamos como os bens culturais. No materialista histórico, eles encontrarão um observador distanciado</w:t>
      </w:r>
      <w:r w:rsidR="00D735F3" w:rsidRPr="009C258B">
        <w:t xml:space="preserve"> (Benjamin, 1991a, p. 696).</w:t>
      </w:r>
    </w:p>
    <w:p w14:paraId="3C23C2D9" w14:textId="71FF9A4A" w:rsidR="00F93DBB" w:rsidRPr="009C258B" w:rsidRDefault="00BE553A" w:rsidP="00B92D01">
      <w:r w:rsidRPr="009C258B">
        <w:t xml:space="preserve">O que mais nos interessa, aqui, é o fim da citação: </w:t>
      </w:r>
      <w:r w:rsidR="00F93DBB" w:rsidRPr="009C258B">
        <w:t>“observador distanciado</w:t>
      </w:r>
      <w:r w:rsidR="00851407" w:rsidRPr="009C258B">
        <w:t xml:space="preserve">” não é uma expressão que os leitores de Benjamin encontrem com muita frequência, e pode </w:t>
      </w:r>
      <w:r w:rsidR="003D4706" w:rsidRPr="009C258B">
        <w:t xml:space="preserve">mesmo </w:t>
      </w:r>
      <w:r w:rsidR="00851407" w:rsidRPr="009C258B">
        <w:t>soar estranha quando vinda de um autor que escreveu, talvez parodiando Wittgenstein</w:t>
      </w:r>
      <w:r w:rsidR="00B07641" w:rsidRPr="009C258B">
        <w:rPr>
          <w:rStyle w:val="Refdenotaderodap"/>
          <w:rFonts w:eastAsia="Calibri" w:cs="Times New Roman"/>
          <w:szCs w:val="24"/>
        </w:rPr>
        <w:footnoteReference w:id="30"/>
      </w:r>
      <w:r w:rsidR="00851407" w:rsidRPr="009C258B">
        <w:t xml:space="preserve">: “Quem não pode tomar partido </w:t>
      </w:r>
      <w:r w:rsidR="00B07641" w:rsidRPr="009C258B">
        <w:t>deve calar-se”</w:t>
      </w:r>
      <w:r w:rsidR="00B07641" w:rsidRPr="009C258B">
        <w:rPr>
          <w:rStyle w:val="Refdenotaderodap"/>
          <w:rFonts w:eastAsia="Calibri" w:cs="Times New Roman"/>
          <w:szCs w:val="24"/>
        </w:rPr>
        <w:footnoteReference w:id="31"/>
      </w:r>
      <w:r w:rsidR="00AB796C">
        <w:t>.</w:t>
      </w:r>
      <w:r w:rsidR="00851407" w:rsidRPr="009C258B">
        <w:t xml:space="preserve"> </w:t>
      </w:r>
      <w:r w:rsidR="00F93DBB" w:rsidRPr="009C258B">
        <w:t xml:space="preserve">Observando melhor, porém, veremos que essa distância não significa neutralidade, mas antes um distanciamento </w:t>
      </w:r>
      <w:r w:rsidR="00D735F3" w:rsidRPr="009C258B">
        <w:t>crítico-</w:t>
      </w:r>
      <w:r w:rsidR="00F93DBB" w:rsidRPr="009C258B">
        <w:t xml:space="preserve">reflexivo do tipo de subjetividade </w:t>
      </w:r>
      <w:r w:rsidR="00851407" w:rsidRPr="009C258B">
        <w:t xml:space="preserve">aparentemente </w:t>
      </w:r>
      <w:r w:rsidR="00F93DBB" w:rsidRPr="009C258B">
        <w:t>espontânea</w:t>
      </w:r>
      <w:r w:rsidR="00851407" w:rsidRPr="009C258B">
        <w:t xml:space="preserve"> (mas, na verdade, ideológica)</w:t>
      </w:r>
      <w:r w:rsidR="00F93DBB" w:rsidRPr="009C258B">
        <w:t xml:space="preserve"> que Benjamin atribui à historiografia conservadora.  </w:t>
      </w:r>
      <w:r w:rsidR="00F501F6" w:rsidRPr="009C258B">
        <w:t xml:space="preserve">Ao mesmo tempo, devemos lembrar que </w:t>
      </w:r>
      <w:r w:rsidR="00F501F6" w:rsidRPr="009C258B">
        <w:rPr>
          <w:i/>
          <w:iCs/>
        </w:rPr>
        <w:t>dist</w:t>
      </w:r>
      <w:r w:rsidR="003D4706" w:rsidRPr="009C258B">
        <w:rPr>
          <w:i/>
          <w:iCs/>
        </w:rPr>
        <w:t>â</w:t>
      </w:r>
      <w:r w:rsidR="00F501F6" w:rsidRPr="009C258B">
        <w:rPr>
          <w:i/>
          <w:iCs/>
        </w:rPr>
        <w:t>ncia</w:t>
      </w:r>
      <w:r w:rsidR="00F501F6" w:rsidRPr="009C258B">
        <w:t xml:space="preserve"> é justamente </w:t>
      </w:r>
      <w:r w:rsidR="003D4706" w:rsidRPr="009C258B">
        <w:t xml:space="preserve">o </w:t>
      </w:r>
      <w:r w:rsidR="00F501F6" w:rsidRPr="009C258B">
        <w:t>que falta ao pesquisador quando ele se deixa guiar pelo princ</w:t>
      </w:r>
      <w:r w:rsidR="00A02C87" w:rsidRPr="009C258B">
        <w:t>í</w:t>
      </w:r>
      <w:r w:rsidR="00F501F6" w:rsidRPr="009C258B">
        <w:t>pio da empatia (ou da revivência, como diz Benjamin no texto acima</w:t>
      </w:r>
      <w:r w:rsidR="00366222" w:rsidRPr="009C258B">
        <w:t xml:space="preserve">, usando o mesmo termo que </w:t>
      </w:r>
      <w:proofErr w:type="spellStart"/>
      <w:r w:rsidR="00366222" w:rsidRPr="009C258B">
        <w:t>Dilthey</w:t>
      </w:r>
      <w:proofErr w:type="spellEnd"/>
      <w:r w:rsidR="00366222" w:rsidRPr="009C258B">
        <w:t xml:space="preserve"> </w:t>
      </w:r>
      <w:r w:rsidR="00A558E6" w:rsidRPr="009C258B">
        <w:t>num de seus textos mais conhecidos)</w:t>
      </w:r>
      <w:r w:rsidR="00A558E6" w:rsidRPr="009C258B">
        <w:rPr>
          <w:rStyle w:val="Refdenotaderodap"/>
          <w:rFonts w:eastAsia="Calibri" w:cs="Times New Roman"/>
          <w:szCs w:val="24"/>
        </w:rPr>
        <w:footnoteReference w:id="32"/>
      </w:r>
      <w:r w:rsidR="00AB796C">
        <w:t>.</w:t>
      </w:r>
    </w:p>
    <w:p w14:paraId="366C194D" w14:textId="75CF0A35" w:rsidR="006B0170" w:rsidRPr="009C258B" w:rsidRDefault="00C73297" w:rsidP="00B92D01">
      <w:r w:rsidRPr="009C258B">
        <w:t>O</w:t>
      </w:r>
      <w:r w:rsidR="00BE553A" w:rsidRPr="009C258B">
        <w:t>utro</w:t>
      </w:r>
      <w:r w:rsidRPr="009C258B">
        <w:t xml:space="preserve"> ponto </w:t>
      </w:r>
      <w:r w:rsidR="003D4706" w:rsidRPr="009C258B">
        <w:t>interessante</w:t>
      </w:r>
      <w:r w:rsidRPr="009C258B">
        <w:t xml:space="preserve"> </w:t>
      </w:r>
      <w:r w:rsidR="00BE553A" w:rsidRPr="009C258B">
        <w:t>nesta tese, tendo em vis</w:t>
      </w:r>
      <w:r w:rsidR="00A2097A" w:rsidRPr="009C258B">
        <w:t>t</w:t>
      </w:r>
      <w:r w:rsidR="00BE553A" w:rsidRPr="009C258B">
        <w:t>a os nossos propósitos, é o</w:t>
      </w:r>
      <w:r w:rsidRPr="009C258B">
        <w:t xml:space="preserve"> seu vocabulário.</w:t>
      </w:r>
      <w:r w:rsidR="003D4706" w:rsidRPr="009C258B">
        <w:t xml:space="preserve"> Sabendo que Benjamin menciona </w:t>
      </w:r>
      <w:proofErr w:type="spellStart"/>
      <w:r w:rsidR="003D4706" w:rsidRPr="009C258B">
        <w:t>Dilthey</w:t>
      </w:r>
      <w:proofErr w:type="spellEnd"/>
      <w:r w:rsidR="003D4706" w:rsidRPr="009C258B">
        <w:t xml:space="preserve"> como um </w:t>
      </w:r>
      <w:r w:rsidR="006B0170" w:rsidRPr="009C258B">
        <w:t>“</w:t>
      </w:r>
      <w:r w:rsidR="003D4706" w:rsidRPr="009C258B">
        <w:t>front</w:t>
      </w:r>
      <w:r w:rsidR="006B0170" w:rsidRPr="009C258B">
        <w:t>”</w:t>
      </w:r>
      <w:r w:rsidR="003D4706" w:rsidRPr="009C258B">
        <w:t xml:space="preserve"> de combate nos manuscritos preparatórios para redação das teses</w:t>
      </w:r>
      <w:r w:rsidR="006B0170" w:rsidRPr="009C258B">
        <w:rPr>
          <w:rStyle w:val="Refdenotaderodap"/>
          <w:rFonts w:eastAsia="Calibri" w:cs="Times New Roman"/>
          <w:szCs w:val="24"/>
        </w:rPr>
        <w:footnoteReference w:id="33"/>
      </w:r>
      <w:r w:rsidR="003D4706" w:rsidRPr="009C258B">
        <w:t xml:space="preserve">, pode-se supor que essa menção à prática da “revivência” poderia ser uma referência velada </w:t>
      </w:r>
      <w:r w:rsidR="00F80D20">
        <w:t>a</w:t>
      </w:r>
      <w:r w:rsidR="003D4706" w:rsidRPr="009C258B">
        <w:t xml:space="preserve"> </w:t>
      </w:r>
      <w:proofErr w:type="spellStart"/>
      <w:r w:rsidR="003D4706" w:rsidRPr="009C258B">
        <w:t>Dilthey</w:t>
      </w:r>
      <w:proofErr w:type="spellEnd"/>
      <w:r w:rsidR="003D4706" w:rsidRPr="009C258B">
        <w:t>: uma crítica implícita</w:t>
      </w:r>
      <w:r w:rsidR="003D4706" w:rsidRPr="009C258B">
        <w:rPr>
          <w:i/>
          <w:iCs/>
        </w:rPr>
        <w:t xml:space="preserve"> </w:t>
      </w:r>
      <w:r w:rsidR="003D4706" w:rsidRPr="009C258B">
        <w:t>a este autor</w:t>
      </w:r>
      <w:r w:rsidR="006B0170" w:rsidRPr="009C258B">
        <w:t xml:space="preserve"> </w:t>
      </w:r>
      <w:r w:rsidR="003D4706" w:rsidRPr="009C258B">
        <w:t>que seria</w:t>
      </w:r>
      <w:r w:rsidR="006B0170" w:rsidRPr="009C258B">
        <w:t>, então,</w:t>
      </w:r>
      <w:r w:rsidR="003D4706" w:rsidRPr="009C258B">
        <w:t xml:space="preserve"> o verdadeiro alvo desta reflexão (e não </w:t>
      </w:r>
      <w:proofErr w:type="spellStart"/>
      <w:r w:rsidR="003D4706" w:rsidRPr="009C258B">
        <w:t>Fustel</w:t>
      </w:r>
      <w:proofErr w:type="spellEnd"/>
      <w:r w:rsidR="003D4706" w:rsidRPr="009C258B">
        <w:t xml:space="preserve"> de </w:t>
      </w:r>
      <w:proofErr w:type="spellStart"/>
      <w:r w:rsidR="003D4706" w:rsidRPr="009C258B">
        <w:t>Co</w:t>
      </w:r>
      <w:r w:rsidR="006B0170" w:rsidRPr="009C258B">
        <w:t>u</w:t>
      </w:r>
      <w:r w:rsidR="003D4706" w:rsidRPr="009C258B">
        <w:t>langes</w:t>
      </w:r>
      <w:proofErr w:type="spellEnd"/>
      <w:r w:rsidR="003D4706" w:rsidRPr="009C258B">
        <w:t>, citado no início da tese</w:t>
      </w:r>
      <w:r w:rsidR="006B0170" w:rsidRPr="009C258B">
        <w:t>)</w:t>
      </w:r>
      <w:r w:rsidR="003D4706" w:rsidRPr="009C258B">
        <w:t>. Dito de outr</w:t>
      </w:r>
      <w:r w:rsidR="00112A77" w:rsidRPr="009C258B">
        <w:t>o modo:</w:t>
      </w:r>
      <w:r w:rsidR="003D4706" w:rsidRPr="009C258B">
        <w:t xml:space="preserve"> se a tese trata principalmente de empatia e usa </w:t>
      </w:r>
      <w:r w:rsidR="003D4706" w:rsidRPr="009C258B">
        <w:rPr>
          <w:i/>
          <w:iCs/>
        </w:rPr>
        <w:t>exatamente</w:t>
      </w:r>
      <w:r w:rsidR="003D4706" w:rsidRPr="009C258B">
        <w:t xml:space="preserve"> o termo </w:t>
      </w:r>
      <w:r w:rsidR="006B0170" w:rsidRPr="009C258B">
        <w:t>técnico</w:t>
      </w:r>
      <w:r w:rsidR="003D4706" w:rsidRPr="009C258B">
        <w:t xml:space="preserve"> que substitui “empatia” no vocabulário de </w:t>
      </w:r>
      <w:proofErr w:type="spellStart"/>
      <w:r w:rsidR="003D4706" w:rsidRPr="009C258B">
        <w:t>Dilthey</w:t>
      </w:r>
      <w:proofErr w:type="spellEnd"/>
      <w:r w:rsidR="00363890" w:rsidRPr="009C258B">
        <w:rPr>
          <w:rStyle w:val="Refdenotaderodap"/>
          <w:rFonts w:eastAsia="Calibri" w:cs="Times New Roman"/>
          <w:szCs w:val="24"/>
        </w:rPr>
        <w:footnoteReference w:id="34"/>
      </w:r>
      <w:r w:rsidR="003D4706" w:rsidRPr="009C258B">
        <w:t xml:space="preserve">, parece-nos no mínimo razoável </w:t>
      </w:r>
      <w:r w:rsidR="006B0170" w:rsidRPr="009C258B">
        <w:t>supor</w:t>
      </w:r>
      <w:r w:rsidR="003D4706" w:rsidRPr="009C258B">
        <w:t xml:space="preserve"> que é de uma crítica a </w:t>
      </w:r>
      <w:proofErr w:type="spellStart"/>
      <w:r w:rsidR="003D4706" w:rsidRPr="009C258B">
        <w:t>Dilthey</w:t>
      </w:r>
      <w:proofErr w:type="spellEnd"/>
      <w:r w:rsidR="003D4706" w:rsidRPr="009C258B">
        <w:t xml:space="preserve"> que se trata aqui. </w:t>
      </w:r>
    </w:p>
    <w:p w14:paraId="133F0C05" w14:textId="22C780E0" w:rsidR="00F93DBB" w:rsidRPr="009C258B" w:rsidRDefault="00C73297" w:rsidP="00B92D01">
      <w:r w:rsidRPr="009C258B">
        <w:t>A crítica expl</w:t>
      </w:r>
      <w:r w:rsidR="006B0170" w:rsidRPr="009C258B">
        <w:t>í</w:t>
      </w:r>
      <w:r w:rsidRPr="009C258B">
        <w:t xml:space="preserve">cita </w:t>
      </w:r>
      <w:r w:rsidR="00F93DBB" w:rsidRPr="009C258B">
        <w:t>encontra-se n</w:t>
      </w:r>
      <w:r w:rsidR="00752AE7" w:rsidRPr="009C258B">
        <w:t>a</w:t>
      </w:r>
      <w:r w:rsidR="00F93DBB" w:rsidRPr="009C258B">
        <w:t xml:space="preserve"> segund</w:t>
      </w:r>
      <w:r w:rsidR="00752AE7" w:rsidRPr="009C258B">
        <w:t>a versão do</w:t>
      </w:r>
      <w:r w:rsidR="00F93DBB" w:rsidRPr="009C258B">
        <w:t xml:space="preserve"> ensaio sobre Baudelaire, </w:t>
      </w:r>
      <w:r w:rsidR="00112A77" w:rsidRPr="009C258B">
        <w:t>no trecho em que</w:t>
      </w:r>
      <w:r w:rsidR="00F93DBB" w:rsidRPr="009C258B">
        <w:t xml:space="preserve"> Benjamin </w:t>
      </w:r>
      <w:r w:rsidR="006B0170" w:rsidRPr="009C258B">
        <w:t>apresenta</w:t>
      </w:r>
      <w:r w:rsidR="00F93DBB" w:rsidRPr="009C258B">
        <w:t xml:space="preserve"> </w:t>
      </w:r>
      <w:proofErr w:type="spellStart"/>
      <w:r w:rsidR="00F93DBB" w:rsidRPr="009C258B">
        <w:t>Dilthey</w:t>
      </w:r>
      <w:proofErr w:type="spellEnd"/>
      <w:r w:rsidR="00F93DBB" w:rsidRPr="009C258B">
        <w:t xml:space="preserve"> como </w:t>
      </w:r>
      <w:r w:rsidR="006B0170" w:rsidRPr="009C258B">
        <w:t>um</w:t>
      </w:r>
      <w:r w:rsidR="00F93DBB" w:rsidRPr="009C258B">
        <w:t xml:space="preserve"> representante de uma atitude intelectual que consiste na sistemática </w:t>
      </w:r>
      <w:r w:rsidR="00F93DBB" w:rsidRPr="009C258B">
        <w:rPr>
          <w:i/>
          <w:iCs/>
        </w:rPr>
        <w:t>privatização</w:t>
      </w:r>
      <w:r w:rsidR="00F93DBB" w:rsidRPr="009C258B">
        <w:t xml:space="preserve"> da experiência coletiva, reduzindo</w:t>
      </w:r>
      <w:r w:rsidR="00112A77" w:rsidRPr="009C258B">
        <w:t>-a</w:t>
      </w:r>
      <w:r w:rsidR="00F93DBB" w:rsidRPr="009C258B">
        <w:t xml:space="preserve"> e degradando-a a uma mera “vivência”</w:t>
      </w:r>
      <w:r w:rsidR="00752AE7" w:rsidRPr="009C258B">
        <w:t xml:space="preserve"> (</w:t>
      </w:r>
      <w:proofErr w:type="spellStart"/>
      <w:r w:rsidR="00752AE7" w:rsidRPr="009C258B">
        <w:rPr>
          <w:i/>
          <w:iCs/>
        </w:rPr>
        <w:t>Erlebnis</w:t>
      </w:r>
      <w:proofErr w:type="spellEnd"/>
      <w:r w:rsidR="00752AE7" w:rsidRPr="009C258B">
        <w:t xml:space="preserve">, o termo </w:t>
      </w:r>
      <w:proofErr w:type="spellStart"/>
      <w:r w:rsidR="00752AE7" w:rsidRPr="009C258B">
        <w:t>diltheyneano</w:t>
      </w:r>
      <w:proofErr w:type="spellEnd"/>
      <w:r w:rsidR="00752AE7" w:rsidRPr="009C258B">
        <w:t xml:space="preserve"> por excelência).</w:t>
      </w:r>
      <w:r w:rsidR="00F93DBB" w:rsidRPr="009C258B">
        <w:t xml:space="preserve"> </w:t>
      </w:r>
    </w:p>
    <w:p w14:paraId="0D93DD74" w14:textId="5AA7E152" w:rsidR="00F93DBB" w:rsidRPr="009C258B" w:rsidRDefault="00FC6E62" w:rsidP="00B92D01">
      <w:r w:rsidRPr="009C258B">
        <w:t>Essa</w:t>
      </w:r>
      <w:r w:rsidR="00F85E44" w:rsidRPr="009C258B">
        <w:t xml:space="preserve"> segunda versão do ensaio</w:t>
      </w:r>
      <w:r w:rsidR="00F93DBB" w:rsidRPr="009C258B">
        <w:t xml:space="preserve"> sobre Baudelaire tem como um dos seus focos, como fica bem claro na sua parte inicial, mostrar como a experiência humana compartilhada e </w:t>
      </w:r>
      <w:r w:rsidR="00F93DBB" w:rsidRPr="009C258B">
        <w:lastRenderedPageBreak/>
        <w:t xml:space="preserve">transmitida nas sociedades pré-modernas </w:t>
      </w:r>
      <w:r w:rsidRPr="009C258B">
        <w:t>foi degradada na</w:t>
      </w:r>
      <w:r w:rsidR="00F93DBB" w:rsidRPr="009C258B">
        <w:t xml:space="preserve"> sociedade </w:t>
      </w:r>
      <w:r w:rsidR="0020113B" w:rsidRPr="009C258B">
        <w:t>moderna</w:t>
      </w:r>
      <w:r w:rsidR="00F93DBB" w:rsidRPr="009C258B">
        <w:t xml:space="preserve">, </w:t>
      </w:r>
      <w:r w:rsidRPr="009C258B">
        <w:t>rompendo com um</w:t>
      </w:r>
      <w:r w:rsidR="00F93DBB" w:rsidRPr="009C258B">
        <w:t xml:space="preserve"> procedimento </w:t>
      </w:r>
      <w:r w:rsidRPr="009C258B">
        <w:t xml:space="preserve">milenar </w:t>
      </w:r>
      <w:r w:rsidR="00F93DBB" w:rsidRPr="009C258B">
        <w:t>de transmissão</w:t>
      </w:r>
      <w:r w:rsidR="00112A77" w:rsidRPr="009C258B">
        <w:t xml:space="preserve"> cultural</w:t>
      </w:r>
      <w:r w:rsidR="00F93DBB" w:rsidRPr="009C258B">
        <w:t xml:space="preserve"> intergeracional</w:t>
      </w:r>
      <w:r w:rsidRPr="009C258B">
        <w:t>.</w:t>
      </w:r>
      <w:r w:rsidR="00F93DBB" w:rsidRPr="009C258B">
        <w:t xml:space="preserve"> </w:t>
      </w:r>
      <w:proofErr w:type="spellStart"/>
      <w:r w:rsidR="00F93DBB" w:rsidRPr="009C258B">
        <w:t>Dilthey</w:t>
      </w:r>
      <w:proofErr w:type="spellEnd"/>
      <w:r w:rsidR="00F501F6" w:rsidRPr="009C258B">
        <w:t xml:space="preserve"> aparece neste ensaio (</w:t>
      </w:r>
      <w:r w:rsidR="00F93DBB" w:rsidRPr="009C258B">
        <w:t>juntamente com Bergson e Proust</w:t>
      </w:r>
      <w:r w:rsidR="00F501F6" w:rsidRPr="009C258B">
        <w:t>) como</w:t>
      </w:r>
      <w:r w:rsidR="00F93DBB" w:rsidRPr="009C258B">
        <w:t xml:space="preserve"> um dos representantes da perda dessa capacidade milenar de transmitir experiências, que teria sido substituída por um enclausuramento da experiência na sua dimensão pessoal e subjetiv</w:t>
      </w:r>
      <w:r w:rsidR="00096330" w:rsidRPr="009C258B">
        <w:t>a.</w:t>
      </w:r>
      <w:r w:rsidR="00F93DBB" w:rsidRPr="009C258B">
        <w:t xml:space="preserve"> É esse enclausuramento que Benjamin diagnostica </w:t>
      </w:r>
      <w:r w:rsidR="00F501F6" w:rsidRPr="009C258B">
        <w:t>n</w:t>
      </w:r>
      <w:r w:rsidR="00F93DBB" w:rsidRPr="009C258B">
        <w:t xml:space="preserve">a metodologia hermenêutica de </w:t>
      </w:r>
      <w:proofErr w:type="spellStart"/>
      <w:r w:rsidR="00F93DBB" w:rsidRPr="009C258B">
        <w:t>Dilthey</w:t>
      </w:r>
      <w:proofErr w:type="spellEnd"/>
      <w:r w:rsidR="00F93DBB" w:rsidRPr="009C258B">
        <w:t xml:space="preserve">, na medida em que ela está baseada justamente naquele tipo de experiência subjetiva que </w:t>
      </w:r>
      <w:proofErr w:type="spellStart"/>
      <w:r w:rsidR="00F93DBB" w:rsidRPr="009C258B">
        <w:t>Dilthey</w:t>
      </w:r>
      <w:proofErr w:type="spellEnd"/>
      <w:r w:rsidR="00F93DBB" w:rsidRPr="009C258B">
        <w:t xml:space="preserve"> chamou de “vivência”.</w:t>
      </w:r>
    </w:p>
    <w:p w14:paraId="7CA352ED" w14:textId="4EC16E55" w:rsidR="00F93DBB" w:rsidRDefault="00F93DBB" w:rsidP="00B92D01">
      <w:bookmarkStart w:id="9" w:name="_Hlk230515104"/>
      <w:r w:rsidRPr="009C258B">
        <w:t xml:space="preserve">Aqui, é essencial desfazermos de pronto a possibilidade de um mal-entendido. </w:t>
      </w:r>
      <w:proofErr w:type="spellStart"/>
      <w:r w:rsidRPr="009C258B">
        <w:t>Dilthey</w:t>
      </w:r>
      <w:proofErr w:type="spellEnd"/>
      <w:r w:rsidRPr="009C258B">
        <w:t xml:space="preserve"> não é certamente um autor solipsista que sustentaria o caráter incomunicável das experiências pessoais, como se poderia pensar </w:t>
      </w:r>
      <w:r w:rsidR="00F80D20">
        <w:t xml:space="preserve">lendo </w:t>
      </w:r>
      <w:r w:rsidRPr="009C258B">
        <w:t xml:space="preserve">apenas o texto benjaminiano. </w:t>
      </w:r>
      <w:r w:rsidR="00FC6E62" w:rsidRPr="009C258B">
        <w:t>Uma parte substancial de</w:t>
      </w:r>
      <w:r w:rsidRPr="009C258B">
        <w:t xml:space="preserve"> sua metodologia, como é próprio da tradição hermenêutica à qual ele pertence, está baseada na tentativa de solucionar o problema do solipsismo</w:t>
      </w:r>
      <w:r w:rsidR="00FC6E62" w:rsidRPr="009C258B">
        <w:t xml:space="preserve"> (que atormenta o pensamento moderno desde</w:t>
      </w:r>
      <w:r w:rsidRPr="009C258B">
        <w:t xml:space="preserve"> </w:t>
      </w:r>
      <w:r w:rsidR="00D0282D" w:rsidRPr="009C258B">
        <w:t xml:space="preserve">René </w:t>
      </w:r>
      <w:r w:rsidRPr="009C258B">
        <w:t>Descartes</w:t>
      </w:r>
      <w:r w:rsidR="00FC6E62" w:rsidRPr="009C258B">
        <w:t>)</w:t>
      </w:r>
      <w:r w:rsidRPr="009C258B">
        <w:t xml:space="preserve">. Como bom hermeneuta, </w:t>
      </w:r>
      <w:proofErr w:type="spellStart"/>
      <w:r w:rsidRPr="009C258B">
        <w:t>Dilthey</w:t>
      </w:r>
      <w:proofErr w:type="spellEnd"/>
      <w:r w:rsidRPr="009C258B">
        <w:t xml:space="preserve"> pretende abordar esse problema por meio d</w:t>
      </w:r>
      <w:r w:rsidR="0020113B" w:rsidRPr="009C258B">
        <w:t>e uma</w:t>
      </w:r>
      <w:r w:rsidRPr="009C258B">
        <w:t xml:space="preserve"> teoria da “compreensão” (ou </w:t>
      </w:r>
      <w:r w:rsidR="0020113B" w:rsidRPr="009C258B">
        <w:t xml:space="preserve">do </w:t>
      </w:r>
      <w:r w:rsidRPr="009C258B">
        <w:t xml:space="preserve">“entendimento”: </w:t>
      </w:r>
      <w:proofErr w:type="spellStart"/>
      <w:r w:rsidRPr="009C258B">
        <w:rPr>
          <w:i/>
          <w:iCs/>
        </w:rPr>
        <w:t>Verstehen</w:t>
      </w:r>
      <w:proofErr w:type="spellEnd"/>
      <w:r w:rsidRPr="009C258B">
        <w:t>). Dito de forma bem simples, a questão que ele procura e</w:t>
      </w:r>
      <w:r w:rsidR="00D0282D" w:rsidRPr="009C258B">
        <w:t>sclarecer</w:t>
      </w:r>
      <w:r w:rsidRPr="009C258B">
        <w:t xml:space="preserve"> diz respeito ao </w:t>
      </w:r>
      <w:r w:rsidRPr="009C258B">
        <w:rPr>
          <w:i/>
          <w:iCs/>
        </w:rPr>
        <w:t>como</w:t>
      </w:r>
      <w:r w:rsidRPr="009C258B">
        <w:t xml:space="preserve"> da interação entre duas consciências</w:t>
      </w:r>
      <w:r w:rsidR="0020113B" w:rsidRPr="009C258B">
        <w:t xml:space="preserve"> (sempre pressupondo que essa interação é fundamental à constituição das culturas humanas)</w:t>
      </w:r>
      <w:r w:rsidR="008B5FA0" w:rsidRPr="009C258B">
        <w:t>: c</w:t>
      </w:r>
      <w:r w:rsidRPr="009C258B">
        <w:t>omo duas consciências que, aparentemente, estão separadas uma da outra, podem entender-se, comunicar-se, viver num mundo comum?</w:t>
      </w:r>
    </w:p>
    <w:p w14:paraId="39426D44" w14:textId="77777777" w:rsidR="00E30008" w:rsidRPr="009C258B" w:rsidRDefault="00E30008" w:rsidP="00B92D01"/>
    <w:p w14:paraId="612583DF" w14:textId="310E3C7E" w:rsidR="002F7AEB" w:rsidRPr="009C258B" w:rsidRDefault="002F7AEB" w:rsidP="00B92D01">
      <w:pPr>
        <w:pStyle w:val="Ttulo1"/>
      </w:pPr>
      <w:r w:rsidRPr="009C258B">
        <w:t>Dilthey e o debate sobre as ciências humanas</w:t>
      </w:r>
    </w:p>
    <w:p w14:paraId="20B1393F" w14:textId="72824AC3" w:rsidR="00F93DBB" w:rsidRPr="00B92D01" w:rsidRDefault="002F7AEB" w:rsidP="00B92D01">
      <w:pPr>
        <w:rPr>
          <w:color w:val="auto"/>
        </w:rPr>
      </w:pPr>
      <w:r w:rsidRPr="009C258B">
        <w:t xml:space="preserve">É preciso que façamos, agora, </w:t>
      </w:r>
      <w:r w:rsidR="00F93DBB" w:rsidRPr="009C258B">
        <w:t xml:space="preserve">um breve esclarecimento histórico. Pois o problema da compreensão em </w:t>
      </w:r>
      <w:proofErr w:type="spellStart"/>
      <w:r w:rsidR="00F93DBB" w:rsidRPr="009C258B">
        <w:t>Dilthey</w:t>
      </w:r>
      <w:proofErr w:type="spellEnd"/>
      <w:r w:rsidR="00F93DBB" w:rsidRPr="009C258B">
        <w:t xml:space="preserve"> não pode ser abordado sem uma exposição (mesmo que bem sumária) da controvérsia sobre as ciências humanas que dominou </w:t>
      </w:r>
      <w:r w:rsidR="00B015F3" w:rsidRPr="009C258B">
        <w:t>uma</w:t>
      </w:r>
      <w:r w:rsidR="00F93DBB" w:rsidRPr="009C258B">
        <w:t xml:space="preserve"> parte</w:t>
      </w:r>
      <w:r w:rsidR="00B015F3" w:rsidRPr="009C258B">
        <w:t xml:space="preserve"> importante</w:t>
      </w:r>
      <w:r w:rsidR="00F93DBB" w:rsidRPr="009C258B">
        <w:t xml:space="preserve"> da epistemologia alemã n</w:t>
      </w:r>
      <w:r w:rsidR="00D0282D" w:rsidRPr="009C258B">
        <w:t>o início do século XX.</w:t>
      </w:r>
    </w:p>
    <w:p w14:paraId="490864CC" w14:textId="0B7B052B" w:rsidR="00F93DBB" w:rsidRPr="009C258B" w:rsidRDefault="00F93DBB" w:rsidP="00B92D01">
      <w:r w:rsidRPr="009C258B">
        <w:t>Ao longo do século XIX, a biologia e a química surgem como ciências independentes e a física passa por um desenvolvimento exponencial. Ao mesmo tempo, surgem as ciências humanas, ou “ciências do espírito” (</w:t>
      </w:r>
      <w:proofErr w:type="spellStart"/>
      <w:r w:rsidR="00B015F3" w:rsidRPr="009C258B">
        <w:rPr>
          <w:i/>
          <w:iCs/>
        </w:rPr>
        <w:t>Geisteswissenschaften</w:t>
      </w:r>
      <w:proofErr w:type="spellEnd"/>
      <w:r w:rsidRPr="009C258B">
        <w:t>), ou ainda “ciências da cultura” (</w:t>
      </w:r>
      <w:proofErr w:type="spellStart"/>
      <w:r w:rsidR="00B015F3" w:rsidRPr="009C258B">
        <w:rPr>
          <w:i/>
          <w:iCs/>
        </w:rPr>
        <w:t>Kulturwissenschaften</w:t>
      </w:r>
      <w:proofErr w:type="spellEnd"/>
      <w:r w:rsidR="00B015F3" w:rsidRPr="009C258B">
        <w:t xml:space="preserve">). </w:t>
      </w:r>
      <w:r w:rsidR="008B5FA0" w:rsidRPr="009C258B">
        <w:t>Pode-se</w:t>
      </w:r>
      <w:r w:rsidRPr="009C258B">
        <w:t xml:space="preserve"> dizer que </w:t>
      </w:r>
      <w:r w:rsidR="008B5FA0" w:rsidRPr="009C258B">
        <w:t>essas novas</w:t>
      </w:r>
      <w:r w:rsidRPr="009C258B">
        <w:t xml:space="preserve"> ciências</w:t>
      </w:r>
      <w:r w:rsidR="008B5FA0" w:rsidRPr="009C258B">
        <w:t xml:space="preserve"> </w:t>
      </w:r>
      <w:r w:rsidRPr="009C258B">
        <w:t xml:space="preserve">surgem por meio de dois movimentos interligados: 1) disciplinas existentes há séculos, como o direito e a história, tornam-se independentes (a história separa-se da retórica e </w:t>
      </w:r>
      <w:r w:rsidR="00112A77" w:rsidRPr="009C258B">
        <w:t>da literatura</w:t>
      </w:r>
      <w:r w:rsidRPr="009C258B">
        <w:t xml:space="preserve">; o direito se torna independente da filosofia); 2) disciplinas novas, como a sociologia e </w:t>
      </w:r>
      <w:r w:rsidR="00BC0390" w:rsidRPr="009C258B">
        <w:t xml:space="preserve">a </w:t>
      </w:r>
      <w:r w:rsidRPr="009C258B">
        <w:t xml:space="preserve">antropologia </w:t>
      </w:r>
      <w:r w:rsidR="00B015F3" w:rsidRPr="009C258B">
        <w:t>social/</w:t>
      </w:r>
      <w:r w:rsidRPr="009C258B">
        <w:t xml:space="preserve">cultural, começam a buscar uma identidade. Essas duas modificações, naturalmente, não </w:t>
      </w:r>
      <w:r w:rsidRPr="009C258B">
        <w:lastRenderedPageBreak/>
        <w:t>passaram despercebidas aos filósofos</w:t>
      </w:r>
      <w:r w:rsidR="00B015F3" w:rsidRPr="009C258B">
        <w:t xml:space="preserve"> da ciência</w:t>
      </w:r>
      <w:r w:rsidRPr="009C258B">
        <w:t>, que começa</w:t>
      </w:r>
      <w:r w:rsidR="00B015F3" w:rsidRPr="009C258B">
        <w:t>m</w:t>
      </w:r>
      <w:r w:rsidRPr="009C258B">
        <w:t xml:space="preserve"> a debater o estatuto epistêmico das novas e velhas disciplinas</w:t>
      </w:r>
      <w:r w:rsidR="00BC0390" w:rsidRPr="009C258B">
        <w:t>.</w:t>
      </w:r>
    </w:p>
    <w:p w14:paraId="011D5D32" w14:textId="0981EC82" w:rsidR="00773AE5" w:rsidRPr="009C258B" w:rsidRDefault="00BC0390" w:rsidP="00B92D01">
      <w:r w:rsidRPr="009C258B">
        <w:t>Esse debate, porém,</w:t>
      </w:r>
      <w:r w:rsidR="00F93DBB" w:rsidRPr="009C258B">
        <w:t xml:space="preserve"> não nasce apenas da mera curiosidade em relação ao que é novo. Em parte, o interesse </w:t>
      </w:r>
      <w:r w:rsidR="00F12909" w:rsidRPr="009C258B">
        <w:t>dos filósofos pelas</w:t>
      </w:r>
      <w:r w:rsidR="00F93DBB" w:rsidRPr="009C258B">
        <w:t xml:space="preserve"> ciências humanas é um interesse </w:t>
      </w:r>
      <w:r w:rsidR="00F93DBB" w:rsidRPr="009C258B">
        <w:rPr>
          <w:i/>
          <w:iCs/>
        </w:rPr>
        <w:t>defensivo.</w:t>
      </w:r>
      <w:r w:rsidR="00F93DBB" w:rsidRPr="009C258B">
        <w:t xml:space="preserve"> Isso se dá, fundamentalmente, porque uma disciplina filosófica que antes era parte da metafísica, a psicologia, surge como </w:t>
      </w:r>
      <w:r w:rsidR="00A51B5A" w:rsidRPr="009C258B">
        <w:t xml:space="preserve">uma </w:t>
      </w:r>
      <w:r w:rsidR="00F93DBB" w:rsidRPr="009C258B">
        <w:t xml:space="preserve">disciplina </w:t>
      </w:r>
      <w:r w:rsidR="00A51B5A" w:rsidRPr="009C258B">
        <w:t xml:space="preserve">científica </w:t>
      </w:r>
      <w:r w:rsidR="00F93DBB" w:rsidRPr="009C258B">
        <w:t>independente, a psicologia empírica e/ou experimental (</w:t>
      </w:r>
      <w:r w:rsidR="00A51B5A" w:rsidRPr="009C258B">
        <w:t>como, por exemplo, nas obras</w:t>
      </w:r>
      <w:r w:rsidR="008B5FA0" w:rsidRPr="009C258B">
        <w:t xml:space="preserve"> </w:t>
      </w:r>
      <w:r w:rsidR="00A51B5A" w:rsidRPr="009C258B">
        <w:t>Wilhelm</w:t>
      </w:r>
      <w:r w:rsidR="008B5FA0" w:rsidRPr="009C258B">
        <w:t xml:space="preserve"> </w:t>
      </w:r>
      <w:proofErr w:type="spellStart"/>
      <w:r w:rsidR="008B5FA0" w:rsidRPr="009C258B">
        <w:t>Wundt</w:t>
      </w:r>
      <w:proofErr w:type="spellEnd"/>
      <w:r w:rsidR="00F93DBB" w:rsidRPr="009C258B">
        <w:t xml:space="preserve">), </w:t>
      </w:r>
      <w:r w:rsidR="00F12909" w:rsidRPr="009C258B">
        <w:t>e</w:t>
      </w:r>
      <w:r w:rsidR="008B5FA0" w:rsidRPr="009C258B">
        <w:t xml:space="preserve"> esse surgimento</w:t>
      </w:r>
      <w:r w:rsidR="00F12909" w:rsidRPr="009C258B">
        <w:t xml:space="preserve"> </w:t>
      </w:r>
      <w:r w:rsidR="00F93DBB" w:rsidRPr="009C258B">
        <w:rPr>
          <w:i/>
          <w:iCs/>
        </w:rPr>
        <w:t>ameaça</w:t>
      </w:r>
      <w:r w:rsidR="00F12909" w:rsidRPr="009C258B">
        <w:rPr>
          <w:i/>
          <w:iCs/>
        </w:rPr>
        <w:t xml:space="preserve"> </w:t>
      </w:r>
      <w:r w:rsidR="00F12909" w:rsidRPr="009C258B">
        <w:t>então</w:t>
      </w:r>
      <w:r w:rsidR="00F93DBB" w:rsidRPr="009C258B">
        <w:t xml:space="preserve"> levar consigo todos os objetos clássicos da filosofia: a beleza, o conhecimento, a verdade, o bem, a </w:t>
      </w:r>
      <w:proofErr w:type="gramStart"/>
      <w:r w:rsidR="00F93DBB" w:rsidRPr="009C258B">
        <w:t>liberdade, etc.</w:t>
      </w:r>
      <w:proofErr w:type="gramEnd"/>
      <w:r w:rsidR="00F93DBB" w:rsidRPr="009C258B">
        <w:t xml:space="preserve"> A psicologia experimental (apesar dos seus parcos resultados) era tão influente</w:t>
      </w:r>
      <w:r w:rsidR="002F7AEB" w:rsidRPr="009C258B">
        <w:t xml:space="preserve"> na época</w:t>
      </w:r>
      <w:r w:rsidR="00F93DBB" w:rsidRPr="009C258B">
        <w:t xml:space="preserve"> que mesmo a lógica, que geralmente era considerada uma ciência formal, passava às vezes a ser tratada como objeto de pesquisa meramente </w:t>
      </w:r>
      <w:r w:rsidR="00773AE5" w:rsidRPr="009C258B">
        <w:t>factual</w:t>
      </w:r>
      <w:r w:rsidR="00F93DBB" w:rsidRPr="009C258B">
        <w:t>. A esse imperialismo</w:t>
      </w:r>
      <w:r w:rsidR="00773AE5" w:rsidRPr="009C258B">
        <w:t xml:space="preserve"> disciplinar</w:t>
      </w:r>
      <w:r w:rsidR="00F93DBB" w:rsidRPr="009C258B">
        <w:t xml:space="preserve"> da psicologia empírica dá-se</w:t>
      </w:r>
      <w:r w:rsidR="008B5FA0" w:rsidRPr="009C258B">
        <w:t xml:space="preserve"> o</w:t>
      </w:r>
      <w:r w:rsidR="00F93DBB" w:rsidRPr="009C258B">
        <w:t xml:space="preserve"> nome</w:t>
      </w:r>
      <w:r w:rsidR="00F12909" w:rsidRPr="009C258B">
        <w:t>, como se sabe,</w:t>
      </w:r>
      <w:r w:rsidR="00F93DBB" w:rsidRPr="009C258B">
        <w:t xml:space="preserve"> de “psicologismo”. </w:t>
      </w:r>
    </w:p>
    <w:p w14:paraId="202487D2" w14:textId="585AFF4E" w:rsidR="00773AE5" w:rsidRPr="009C258B" w:rsidRDefault="00F93DBB" w:rsidP="00B92D01">
      <w:r w:rsidRPr="009C258B">
        <w:t xml:space="preserve">Ao lado de Husserl, embora com métodos e objetivos bem distintos, </w:t>
      </w:r>
      <w:proofErr w:type="spellStart"/>
      <w:r w:rsidRPr="009C258B">
        <w:t>Dilthey</w:t>
      </w:r>
      <w:proofErr w:type="spellEnd"/>
      <w:r w:rsidRPr="009C258B">
        <w:t xml:space="preserve"> </w:t>
      </w:r>
      <w:r w:rsidR="00F12909" w:rsidRPr="009C258B">
        <w:t>concentrou-se na tarefa de criticar o reducionismo da psicologia empírica</w:t>
      </w:r>
      <w:r w:rsidR="00773AE5" w:rsidRPr="009C258B">
        <w:t xml:space="preserve"> da época</w:t>
      </w:r>
      <w:r w:rsidR="00F12909" w:rsidRPr="009C258B">
        <w:t>, propondo um método alternativo, baseado na introspeção e na descrição dos estados mentais. É nesse contexto que aparece o conceito</w:t>
      </w:r>
      <w:r w:rsidRPr="009C258B">
        <w:t xml:space="preserve"> de </w:t>
      </w:r>
      <w:proofErr w:type="spellStart"/>
      <w:r w:rsidRPr="009C258B">
        <w:t>Dilthey</w:t>
      </w:r>
      <w:proofErr w:type="spellEnd"/>
      <w:r w:rsidRPr="009C258B">
        <w:t xml:space="preserve"> que mais interessa a Benjamin: a noção de “vivência”.</w:t>
      </w:r>
      <w:r w:rsidR="00773AE5" w:rsidRPr="009C258B">
        <w:t xml:space="preserve"> </w:t>
      </w:r>
    </w:p>
    <w:p w14:paraId="6DC8D82C" w14:textId="36014980" w:rsidR="00F93DBB" w:rsidRPr="009C258B" w:rsidRDefault="00F93DBB" w:rsidP="00B92D01">
      <w:r w:rsidRPr="009C258B">
        <w:t xml:space="preserve">Para </w:t>
      </w:r>
      <w:proofErr w:type="spellStart"/>
      <w:r w:rsidRPr="009C258B">
        <w:t>Dilthey</w:t>
      </w:r>
      <w:proofErr w:type="spellEnd"/>
      <w:r w:rsidRPr="009C258B">
        <w:t xml:space="preserve">, </w:t>
      </w:r>
      <w:r w:rsidR="00773AE5" w:rsidRPr="009C258B">
        <w:t xml:space="preserve">a </w:t>
      </w:r>
      <w:r w:rsidRPr="009C258B">
        <w:t>nossa experiência d</w:t>
      </w:r>
      <w:r w:rsidR="00773AE5" w:rsidRPr="009C258B">
        <w:t>a realidade</w:t>
      </w:r>
      <w:r w:rsidRPr="009C258B">
        <w:t xml:space="preserve"> em geral se dá através de nossas vivências. Não há, de início, diferença entre cultura e natureza, mas apenas um objeto indiferenciado, que é apenas o objeto mundano, o “isso” contraposto à consciência. Para que </w:t>
      </w:r>
      <w:r w:rsidR="00053832" w:rsidRPr="009C258B">
        <w:t>o âmbito dos objetos naturais</w:t>
      </w:r>
      <w:r w:rsidRPr="009C258B">
        <w:t xml:space="preserve"> surja, como um </w:t>
      </w:r>
      <w:r w:rsidR="00053832" w:rsidRPr="009C258B">
        <w:t>domínio</w:t>
      </w:r>
      <w:r w:rsidRPr="009C258B">
        <w:t xml:space="preserve"> do conhecimento científico, é preciso que o ser humano “desative a si mesmo (</w:t>
      </w:r>
      <w:proofErr w:type="spellStart"/>
      <w:r w:rsidRPr="009C258B">
        <w:rPr>
          <w:i/>
          <w:iCs/>
        </w:rPr>
        <w:t>sich</w:t>
      </w:r>
      <w:proofErr w:type="spellEnd"/>
      <w:r w:rsidRPr="009C258B">
        <w:rPr>
          <w:i/>
          <w:iCs/>
        </w:rPr>
        <w:t xml:space="preserve"> </w:t>
      </w:r>
      <w:proofErr w:type="spellStart"/>
      <w:r w:rsidRPr="009C258B">
        <w:rPr>
          <w:i/>
          <w:iCs/>
        </w:rPr>
        <w:t>selbst</w:t>
      </w:r>
      <w:proofErr w:type="spellEnd"/>
      <w:r w:rsidRPr="009C258B">
        <w:rPr>
          <w:i/>
          <w:iCs/>
        </w:rPr>
        <w:t xml:space="preserve"> </w:t>
      </w:r>
      <w:proofErr w:type="spellStart"/>
      <w:r w:rsidRPr="009C258B">
        <w:rPr>
          <w:i/>
          <w:iCs/>
        </w:rPr>
        <w:t>ausschalt</w:t>
      </w:r>
      <w:r w:rsidR="009D6359" w:rsidRPr="009C258B">
        <w:rPr>
          <w:i/>
          <w:iCs/>
        </w:rPr>
        <w:t>et</w:t>
      </w:r>
      <w:proofErr w:type="spellEnd"/>
      <w:r w:rsidRPr="009C258B">
        <w:t xml:space="preserve">) para construir, a partir de suas impressões, esse grande objeto </w:t>
      </w:r>
      <w:r w:rsidRPr="009C258B">
        <w:rPr>
          <w:i/>
          <w:iCs/>
        </w:rPr>
        <w:t>natureza</w:t>
      </w:r>
      <w:r w:rsidRPr="009C258B">
        <w:t>, como uma ordem segundo leis”</w:t>
      </w:r>
      <w:r w:rsidR="00734701" w:rsidRPr="009C258B">
        <w:t xml:space="preserve"> (</w:t>
      </w:r>
      <w:proofErr w:type="spellStart"/>
      <w:r w:rsidR="00734701" w:rsidRPr="009C258B">
        <w:t>Dilthey</w:t>
      </w:r>
      <w:proofErr w:type="spellEnd"/>
      <w:r w:rsidR="00734701" w:rsidRPr="009C258B">
        <w:t>, 1965, p. 83).</w:t>
      </w:r>
    </w:p>
    <w:p w14:paraId="4D1A0DA3" w14:textId="6A6D7822" w:rsidR="00F93DBB" w:rsidRPr="009C258B" w:rsidRDefault="00053832" w:rsidP="00B92D01">
      <w:r w:rsidRPr="009C258B">
        <w:t>Por sua vez, o</w:t>
      </w:r>
      <w:r w:rsidR="00F93DBB" w:rsidRPr="009C258B">
        <w:t xml:space="preserve"> mundo cultural, como objeto de conhecimento, nasce de um </w:t>
      </w:r>
      <w:r w:rsidR="00F93DBB" w:rsidRPr="009C258B">
        <w:rPr>
          <w:i/>
          <w:iCs/>
        </w:rPr>
        <w:t>retorno</w:t>
      </w:r>
      <w:r w:rsidR="00F93DBB" w:rsidRPr="009C258B">
        <w:t xml:space="preserve"> do sujeito às suas próprias vivências, no qual ele </w:t>
      </w:r>
      <w:r w:rsidR="00FF3EBC" w:rsidRPr="009C258B">
        <w:t>adota uma</w:t>
      </w:r>
      <w:r w:rsidR="00F93DBB" w:rsidRPr="009C258B">
        <w:t xml:space="preserve"> atitude </w:t>
      </w:r>
      <w:r w:rsidR="00FF3EBC" w:rsidRPr="009C258B">
        <w:t>reflexiva</w:t>
      </w:r>
      <w:r w:rsidR="00F93DBB" w:rsidRPr="009C258B">
        <w:t xml:space="preserve"> e metódica em face do que sempre esteve ali, na gênese de toda constituição de mundo, seja natural, seja cultural. Nas palavras de </w:t>
      </w:r>
      <w:proofErr w:type="spellStart"/>
      <w:r w:rsidR="00F93DBB" w:rsidRPr="009C258B">
        <w:t>Dilthey</w:t>
      </w:r>
      <w:proofErr w:type="spellEnd"/>
      <w:r w:rsidR="00F93DBB" w:rsidRPr="009C258B">
        <w:t>, a objetificação do campo empírico das ciências humanas nasce de um “retorno do ser humano à vivência por meio da qual a natureza está aí para ele, [um retorno] à vida, na qual unicamente surgem significado, valor e fim”</w:t>
      </w:r>
      <w:r w:rsidR="00F30CE1" w:rsidRPr="009C258B">
        <w:t xml:space="preserve"> (</w:t>
      </w:r>
      <w:proofErr w:type="spellStart"/>
      <w:r w:rsidR="00F30CE1" w:rsidRPr="009C258B">
        <w:t>Dilthey</w:t>
      </w:r>
      <w:proofErr w:type="spellEnd"/>
      <w:r w:rsidR="00F30CE1" w:rsidRPr="009C258B">
        <w:t>, 1965, p. 83).</w:t>
      </w:r>
      <w:r w:rsidR="00F93DBB" w:rsidRPr="009C258B">
        <w:t xml:space="preserve"> </w:t>
      </w:r>
      <w:r w:rsidR="00E739B3" w:rsidRPr="009C258B">
        <w:t>Percebe-se aqui</w:t>
      </w:r>
      <w:r w:rsidR="00F93DBB" w:rsidRPr="009C258B">
        <w:t xml:space="preserve"> uma evidente semelhança com a crítica da atitude natural, na fenomenologia de Husserl, e com a ideia de autorreflexão transcendental, no início do idealismo alemão. Entretanto, a menção das noções de “significado, valor e fim” aponta </w:t>
      </w:r>
      <w:r w:rsidR="00A76FE7" w:rsidRPr="009C258B">
        <w:t xml:space="preserve">para </w:t>
      </w:r>
      <w:r w:rsidR="00F93DBB" w:rsidRPr="009C258B">
        <w:t xml:space="preserve">uma herança que </w:t>
      </w:r>
      <w:proofErr w:type="spellStart"/>
      <w:r w:rsidR="00F93DBB" w:rsidRPr="009C258B">
        <w:t>Dilthey</w:t>
      </w:r>
      <w:proofErr w:type="spellEnd"/>
      <w:r w:rsidR="00F93DBB" w:rsidRPr="009C258B">
        <w:t xml:space="preserve"> partilha com a filosofia acadêmica do seu tempo: o neokantismo.</w:t>
      </w:r>
    </w:p>
    <w:p w14:paraId="39047898" w14:textId="04A698E1" w:rsidR="0052079E" w:rsidRPr="009C258B" w:rsidRDefault="002E2F2D" w:rsidP="00B92D01">
      <w:r w:rsidRPr="009C258B">
        <w:lastRenderedPageBreak/>
        <w:t>Mas as coisas não são tão simples.</w:t>
      </w:r>
      <w:r w:rsidR="00FF3EBC" w:rsidRPr="009C258B">
        <w:t xml:space="preserve"> </w:t>
      </w:r>
      <w:proofErr w:type="spellStart"/>
      <w:r w:rsidR="00F93DBB" w:rsidRPr="009C258B">
        <w:t>Dilthey</w:t>
      </w:r>
      <w:proofErr w:type="spellEnd"/>
      <w:r w:rsidR="00F93DBB" w:rsidRPr="009C258B">
        <w:t xml:space="preserve"> deve certamente muito da sua inspiração ao neokantismo, mas o fato de que o seu foco é a noção de </w:t>
      </w:r>
      <w:r w:rsidR="00F93DBB" w:rsidRPr="009C258B">
        <w:rPr>
          <w:i/>
          <w:iCs/>
        </w:rPr>
        <w:t>vida</w:t>
      </w:r>
      <w:r w:rsidR="00F93DBB" w:rsidRPr="009C258B">
        <w:t xml:space="preserve"> explica por</w:t>
      </w:r>
      <w:r w:rsidR="00F80D20">
        <w:t xml:space="preserve"> </w:t>
      </w:r>
      <w:r w:rsidR="00F93DBB" w:rsidRPr="009C258B">
        <w:t xml:space="preserve">que, apesar das influências do neokantismo e da hermenêutica, </w:t>
      </w:r>
      <w:r w:rsidR="00FF3EBC" w:rsidRPr="009C258B">
        <w:t>a sua filosofia</w:t>
      </w:r>
      <w:r w:rsidR="00F93DBB" w:rsidRPr="009C258B">
        <w:t xml:space="preserve"> pertence </w:t>
      </w:r>
      <w:r w:rsidR="00BA3A0A" w:rsidRPr="009C258B">
        <w:t>também</w:t>
      </w:r>
      <w:r w:rsidR="00F93DBB" w:rsidRPr="009C258B">
        <w:t xml:space="preserve"> à chamada “filosofia da vida”</w:t>
      </w:r>
      <w:r w:rsidR="00E739B3" w:rsidRPr="009C258B">
        <w:t xml:space="preserve"> –</w:t>
      </w:r>
      <w:r w:rsidR="00F93DBB" w:rsidRPr="009C258B">
        <w:t xml:space="preserve"> </w:t>
      </w:r>
      <w:r w:rsidRPr="009C258B">
        <w:t>embora se afaste</w:t>
      </w:r>
      <w:r w:rsidR="00E739B3" w:rsidRPr="009C258B">
        <w:t xml:space="preserve"> claramente</w:t>
      </w:r>
      <w:r w:rsidRPr="009C258B">
        <w:t xml:space="preserve"> do irracionalismo que marca a “versão vulgar” da </w:t>
      </w:r>
      <w:proofErr w:type="spellStart"/>
      <w:r w:rsidRPr="009C258B">
        <w:rPr>
          <w:i/>
          <w:iCs/>
        </w:rPr>
        <w:t>Lebensphilosophie</w:t>
      </w:r>
      <w:proofErr w:type="spellEnd"/>
      <w:r w:rsidR="0052079E" w:rsidRPr="009C258B">
        <w:t xml:space="preserve">, como a “filosofia” de </w:t>
      </w:r>
      <w:bookmarkStart w:id="10" w:name="_Hlk212376600"/>
      <w:r w:rsidR="0052079E" w:rsidRPr="009C258B">
        <w:t xml:space="preserve">Oswald </w:t>
      </w:r>
      <w:r w:rsidR="001F46EE" w:rsidRPr="009C258B">
        <w:t>Spengler</w:t>
      </w:r>
      <w:bookmarkEnd w:id="10"/>
      <w:r w:rsidR="0052079E" w:rsidRPr="009C258B">
        <w:t>,</w:t>
      </w:r>
      <w:r w:rsidRPr="009C258B">
        <w:t xml:space="preserve"> que </w:t>
      </w:r>
      <w:r w:rsidR="00AE142E" w:rsidRPr="009C258B">
        <w:t xml:space="preserve">se </w:t>
      </w:r>
      <w:r w:rsidRPr="009C258B">
        <w:t>tornou popular no início do século XX</w:t>
      </w:r>
      <w:r w:rsidR="00E84D66" w:rsidRPr="009C258B">
        <w:rPr>
          <w:rStyle w:val="Refdenotaderodap"/>
          <w:rFonts w:eastAsia="Calibri" w:cs="Times New Roman"/>
          <w:szCs w:val="24"/>
        </w:rPr>
        <w:footnoteReference w:id="35"/>
      </w:r>
      <w:r w:rsidR="00AB796C">
        <w:t>.</w:t>
      </w:r>
      <w:r w:rsidR="00F93DBB" w:rsidRPr="009C258B">
        <w:t xml:space="preserve"> </w:t>
      </w:r>
    </w:p>
    <w:bookmarkEnd w:id="9"/>
    <w:p w14:paraId="1E4CA880" w14:textId="0643B221" w:rsidR="00B25FA9" w:rsidRPr="009C258B" w:rsidRDefault="00F93DBB" w:rsidP="00B92D01">
      <w:r w:rsidRPr="009C258B">
        <w:t>Isso explica também por</w:t>
      </w:r>
      <w:r w:rsidR="00B24777">
        <w:t xml:space="preserve"> </w:t>
      </w:r>
      <w:r w:rsidRPr="009C258B">
        <w:t xml:space="preserve">que Benjamin associa </w:t>
      </w:r>
      <w:proofErr w:type="spellStart"/>
      <w:r w:rsidRPr="009C258B">
        <w:t>Dilthey</w:t>
      </w:r>
      <w:proofErr w:type="spellEnd"/>
      <w:r w:rsidRPr="009C258B">
        <w:t xml:space="preserve"> a </w:t>
      </w:r>
      <w:r w:rsidR="0052079E" w:rsidRPr="009C258B">
        <w:t xml:space="preserve">Henri </w:t>
      </w:r>
      <w:r w:rsidRPr="009C258B">
        <w:t>Bergson</w:t>
      </w:r>
      <w:r w:rsidR="00B6008B" w:rsidRPr="009C258B">
        <w:t>,</w:t>
      </w:r>
      <w:r w:rsidR="0052079E" w:rsidRPr="009C258B">
        <w:t xml:space="preserve"> sustentando a superioridade do autor francês sobre o alemão, devido ao </w:t>
      </w:r>
      <w:r w:rsidR="001F46EE" w:rsidRPr="009C258B">
        <w:t>vínculo</w:t>
      </w:r>
      <w:r w:rsidR="00E739B3" w:rsidRPr="009C258B">
        <w:t xml:space="preserve"> (supostamente) mais estreito</w:t>
      </w:r>
      <w:r w:rsidR="001F46EE" w:rsidRPr="009C258B">
        <w:t xml:space="preserve"> d</w:t>
      </w:r>
      <w:r w:rsidR="00E739B3" w:rsidRPr="009C258B">
        <w:t>e Bergson</w:t>
      </w:r>
      <w:r w:rsidR="001F46EE" w:rsidRPr="009C258B">
        <w:t xml:space="preserve"> </w:t>
      </w:r>
      <w:r w:rsidR="00E739B3" w:rsidRPr="009C258B">
        <w:t>com</w:t>
      </w:r>
      <w:r w:rsidR="001F46EE" w:rsidRPr="009C258B">
        <w:t xml:space="preserve"> ciência empírica</w:t>
      </w:r>
      <w:r w:rsidR="00E739B3" w:rsidRPr="009C258B">
        <w:t>.</w:t>
      </w:r>
      <w:r w:rsidR="001F46EE" w:rsidRPr="009C258B">
        <w:t xml:space="preserve"> </w:t>
      </w:r>
      <w:r w:rsidR="00BA3A0A" w:rsidRPr="009C258B">
        <w:t>Benjamin negligencia</w:t>
      </w:r>
      <w:r w:rsidR="0052079E" w:rsidRPr="009C258B">
        <w:t xml:space="preserve">, no entanto, o fato de </w:t>
      </w:r>
      <w:r w:rsidR="00BA3A0A" w:rsidRPr="009C258B">
        <w:t xml:space="preserve">que </w:t>
      </w:r>
      <w:proofErr w:type="spellStart"/>
      <w:r w:rsidR="00BA3A0A" w:rsidRPr="009C258B">
        <w:t>D</w:t>
      </w:r>
      <w:r w:rsidR="0052079E" w:rsidRPr="009C258B">
        <w:t>ilthey</w:t>
      </w:r>
      <w:proofErr w:type="spellEnd"/>
      <w:r w:rsidR="001F46EE" w:rsidRPr="009C258B">
        <w:t xml:space="preserve"> tem uma vasta obra dedica</w:t>
      </w:r>
      <w:r w:rsidR="00B24777">
        <w:t>da</w:t>
      </w:r>
      <w:r w:rsidR="001F46EE" w:rsidRPr="009C258B">
        <w:t xml:space="preserve"> à epistemologia, com o foco na teoria das ciências humanas, mas incluindo também reflexões sobre as ciências da natureza</w:t>
      </w:r>
      <w:r w:rsidR="001F46EE" w:rsidRPr="009C258B">
        <w:rPr>
          <w:rStyle w:val="Refdenotaderodap"/>
          <w:rFonts w:eastAsia="Calibri" w:cs="Times New Roman"/>
          <w:szCs w:val="24"/>
        </w:rPr>
        <w:footnoteReference w:id="36"/>
      </w:r>
      <w:r w:rsidR="001F46EE" w:rsidRPr="009C258B">
        <w:t>.</w:t>
      </w:r>
      <w:r w:rsidR="00E739B3" w:rsidRPr="009C258B">
        <w:t xml:space="preserve"> Benjamin faz certamente uma injustiça, portanto, a</w:t>
      </w:r>
      <w:r w:rsidR="00806CE3" w:rsidRPr="009C258B">
        <w:t>o associ</w:t>
      </w:r>
      <w:r w:rsidR="00E739B3" w:rsidRPr="009C258B">
        <w:t xml:space="preserve">ar </w:t>
      </w:r>
      <w:proofErr w:type="spellStart"/>
      <w:r w:rsidR="00E739B3" w:rsidRPr="009C258B">
        <w:t>Dilthey</w:t>
      </w:r>
      <w:proofErr w:type="spellEnd"/>
      <w:r w:rsidR="00806CE3" w:rsidRPr="009C258B">
        <w:t xml:space="preserve"> ao irracionalismo da “filosofia popular” da sua época</w:t>
      </w:r>
      <w:r w:rsidR="00F11E47" w:rsidRPr="009C258B">
        <w:t>:</w:t>
      </w:r>
    </w:p>
    <w:p w14:paraId="74932F7C" w14:textId="7A1C8B51" w:rsidR="00E84D66" w:rsidRPr="009C258B" w:rsidRDefault="00BB7ECA" w:rsidP="006077B4">
      <w:pPr>
        <w:pStyle w:val="Citao"/>
      </w:pPr>
      <w:bookmarkStart w:id="11" w:name="_Hlk210202949"/>
      <w:r w:rsidRPr="009C258B">
        <w:t>Desde o final do século passado, ela [a filosofia] empreendeu uma série de tentativas de se apropriar da “verdadeira” experiência, em contraposição a uma experiência que se reflete na existência normalizada, desnaturada, das massas civilizadas. Costuma-se classificar essas propostas sob o conceito de “filosofia da vida”. Elas não partiam, compreende-se, da existência dos seres humanos na sociedade. Elas invocavam a criação literária (</w:t>
      </w:r>
      <w:proofErr w:type="spellStart"/>
      <w:r w:rsidRPr="009C258B">
        <w:rPr>
          <w:i/>
        </w:rPr>
        <w:t>Dichtung</w:t>
      </w:r>
      <w:proofErr w:type="spellEnd"/>
      <w:r w:rsidRPr="009C258B">
        <w:t xml:space="preserve">), mais ainda a natureza e por fim sobretudo a era mítica. A obra de </w:t>
      </w:r>
      <w:proofErr w:type="spellStart"/>
      <w:r w:rsidRPr="009C258B">
        <w:t>Dilthey</w:t>
      </w:r>
      <w:proofErr w:type="spellEnd"/>
      <w:r w:rsidRPr="009C258B">
        <w:t xml:space="preserve"> </w:t>
      </w:r>
      <w:r w:rsidRPr="009C258B">
        <w:rPr>
          <w:i/>
        </w:rPr>
        <w:t>A vivência e a criação literária</w:t>
      </w:r>
      <w:r w:rsidRPr="009C258B">
        <w:t xml:space="preserve"> </w:t>
      </w:r>
      <w:proofErr w:type="gramStart"/>
      <w:r w:rsidRPr="009C258B">
        <w:t>é</w:t>
      </w:r>
      <w:proofErr w:type="gramEnd"/>
      <w:r w:rsidRPr="009C258B">
        <w:t xml:space="preserve"> uma das primeiras da série</w:t>
      </w:r>
      <w:r w:rsidR="00E84D66" w:rsidRPr="009C258B">
        <w:t xml:space="preserve"> (Benjamin, 1991a, p. 608).</w:t>
      </w:r>
    </w:p>
    <w:bookmarkEnd w:id="11"/>
    <w:p w14:paraId="6B87DED4" w14:textId="6E154CEA" w:rsidR="007B5D94" w:rsidRPr="009C258B" w:rsidRDefault="009D3351" w:rsidP="00B92D01">
      <w:r w:rsidRPr="009C258B">
        <w:t>Entretanto,</w:t>
      </w:r>
      <w:r w:rsidR="00F93DBB" w:rsidRPr="009C258B">
        <w:t xml:space="preserve"> a </w:t>
      </w:r>
      <w:r w:rsidR="00B6008B" w:rsidRPr="009C258B">
        <w:t>leitura</w:t>
      </w:r>
      <w:r w:rsidR="00F93DBB" w:rsidRPr="009C258B">
        <w:t xml:space="preserve"> que Benjamin faz de </w:t>
      </w:r>
      <w:proofErr w:type="spellStart"/>
      <w:r w:rsidR="00F93DBB" w:rsidRPr="009C258B">
        <w:t>Dilthey</w:t>
      </w:r>
      <w:proofErr w:type="spellEnd"/>
      <w:r w:rsidR="00F93DBB" w:rsidRPr="009C258B">
        <w:t xml:space="preserve"> tem um ponto pertinente</w:t>
      </w:r>
      <w:r w:rsidR="00E84D66" w:rsidRPr="009C258B">
        <w:t xml:space="preserve"> e relevante: </w:t>
      </w:r>
      <w:r w:rsidR="00F93DBB" w:rsidRPr="009C258B">
        <w:t xml:space="preserve">por causa de sua nostalgia da </w:t>
      </w:r>
      <w:proofErr w:type="spellStart"/>
      <w:r w:rsidR="00E84D66" w:rsidRPr="009C258B">
        <w:rPr>
          <w:i/>
          <w:iCs/>
        </w:rPr>
        <w:t>Erfahrung</w:t>
      </w:r>
      <w:proofErr w:type="spellEnd"/>
      <w:r w:rsidR="00B6008B" w:rsidRPr="009C258B">
        <w:t>,</w:t>
      </w:r>
      <w:r w:rsidR="00F93DBB" w:rsidRPr="009C258B">
        <w:t xml:space="preserve"> </w:t>
      </w:r>
      <w:proofErr w:type="spellStart"/>
      <w:r w:rsidR="00F93DBB" w:rsidRPr="009C258B">
        <w:t>Dilthey</w:t>
      </w:r>
      <w:proofErr w:type="spellEnd"/>
      <w:r w:rsidR="00F93DBB" w:rsidRPr="009C258B">
        <w:t xml:space="preserve"> não parece se preocupar com a questão dos </w:t>
      </w:r>
      <w:r w:rsidR="00F93DBB" w:rsidRPr="009C258B">
        <w:rPr>
          <w:i/>
          <w:iCs/>
        </w:rPr>
        <w:t>obstáculos</w:t>
      </w:r>
      <w:r w:rsidR="00F93DBB" w:rsidRPr="009C258B">
        <w:t xml:space="preserve"> </w:t>
      </w:r>
      <w:r w:rsidR="00B63310" w:rsidRPr="009C258B">
        <w:rPr>
          <w:i/>
          <w:iCs/>
        </w:rPr>
        <w:t xml:space="preserve">especificamente modernos </w:t>
      </w:r>
      <w:r w:rsidR="00B63310" w:rsidRPr="009C258B">
        <w:t>que se impõem à</w:t>
      </w:r>
      <w:r w:rsidR="00B6008B" w:rsidRPr="009C258B">
        <w:t xml:space="preserve"> tarefa</w:t>
      </w:r>
      <w:r w:rsidR="00B63310" w:rsidRPr="009C258B">
        <w:t xml:space="preserve"> da</w:t>
      </w:r>
      <w:r w:rsidR="00B6008B" w:rsidRPr="009C258B">
        <w:t xml:space="preserve"> hermenêutica (a </w:t>
      </w:r>
      <w:r w:rsidR="00F93DBB" w:rsidRPr="009C258B">
        <w:t>compreensão</w:t>
      </w:r>
      <w:r w:rsidR="00B6008B" w:rsidRPr="009C258B">
        <w:t xml:space="preserve"> e a interpretação),</w:t>
      </w:r>
      <w:r w:rsidR="00B343AF" w:rsidRPr="009C258B">
        <w:t xml:space="preserve"> </w:t>
      </w:r>
      <w:r w:rsidR="00B6008B" w:rsidRPr="009C258B">
        <w:t xml:space="preserve">obstáculos estes </w:t>
      </w:r>
      <w:r w:rsidR="00B343AF" w:rsidRPr="009C258B">
        <w:t xml:space="preserve">que Benjamin procurou </w:t>
      </w:r>
      <w:r w:rsidR="00B6008B" w:rsidRPr="009C258B">
        <w:t>analisar</w:t>
      </w:r>
      <w:r w:rsidR="00B343AF" w:rsidRPr="009C258B">
        <w:t xml:space="preserve"> através da noção de “</w:t>
      </w:r>
      <w:r w:rsidR="00330D82" w:rsidRPr="009C258B">
        <w:t>atrofia</w:t>
      </w:r>
      <w:r w:rsidR="00B343AF" w:rsidRPr="009C258B">
        <w:t xml:space="preserve"> da experiência”</w:t>
      </w:r>
      <w:r w:rsidR="00B343AF" w:rsidRPr="009C258B">
        <w:rPr>
          <w:rStyle w:val="Refdenotaderodap"/>
          <w:rFonts w:eastAsia="Calibri" w:cs="Times New Roman"/>
          <w:color w:val="000000"/>
          <w:szCs w:val="24"/>
        </w:rPr>
        <w:footnoteReference w:id="37"/>
      </w:r>
      <w:r w:rsidR="00B6008B" w:rsidRPr="009C258B">
        <w:t>, que está implícita na citação acima</w:t>
      </w:r>
      <w:r w:rsidR="00806CE3" w:rsidRPr="009C258B">
        <w:t xml:space="preserve">. É por isso que ele afirma que </w:t>
      </w:r>
      <w:r w:rsidR="001B7C25" w:rsidRPr="009C258B">
        <w:t>“</w:t>
      </w:r>
      <w:r w:rsidR="00806CE3" w:rsidRPr="009C258B">
        <w:t xml:space="preserve">a </w:t>
      </w:r>
      <w:r w:rsidR="001B7C25" w:rsidRPr="009C258B">
        <w:t xml:space="preserve">existência desnaturada das massas civilizadas” só pode ser percebida se não ignorarmos “a existência dos seres humanos em sociedade”. Em suma: devido à ausência de uma perspectiva social crítica, </w:t>
      </w:r>
      <w:proofErr w:type="spellStart"/>
      <w:r w:rsidR="001B7C25" w:rsidRPr="009C258B">
        <w:t>Dilthey</w:t>
      </w:r>
      <w:proofErr w:type="spellEnd"/>
      <w:r w:rsidR="00F93DBB" w:rsidRPr="009C258B">
        <w:t xml:space="preserve"> </w:t>
      </w:r>
      <w:r w:rsidR="001B7C25" w:rsidRPr="009C258B">
        <w:t xml:space="preserve">idealiza a cultura das </w:t>
      </w:r>
      <w:r w:rsidR="001B7C25" w:rsidRPr="009C258B">
        <w:rPr>
          <w:i/>
          <w:iCs/>
        </w:rPr>
        <w:t>vivências</w:t>
      </w:r>
      <w:r w:rsidR="001B7C25" w:rsidRPr="009C258B">
        <w:t xml:space="preserve"> do indivíduo isolado, transformando-as (ilusoriamente) em </w:t>
      </w:r>
      <w:r w:rsidR="001B7C25" w:rsidRPr="009C258B">
        <w:rPr>
          <w:i/>
          <w:iCs/>
        </w:rPr>
        <w:t>experiências</w:t>
      </w:r>
      <w:r w:rsidR="001B7C25" w:rsidRPr="009C258B">
        <w:t xml:space="preserve"> (no sentido </w:t>
      </w:r>
      <w:r w:rsidR="00F11E47" w:rsidRPr="009C258B">
        <w:t>benjaminiano</w:t>
      </w:r>
      <w:r w:rsidR="001B7C25" w:rsidRPr="009C258B">
        <w:t xml:space="preserve"> do termo). </w:t>
      </w:r>
    </w:p>
    <w:p w14:paraId="64918A2E" w14:textId="03AFC40B" w:rsidR="00AC03A6" w:rsidRDefault="00AC03A6" w:rsidP="00B92D01"/>
    <w:p w14:paraId="090093D8" w14:textId="763481A2" w:rsidR="00565B3A" w:rsidRDefault="00565B3A" w:rsidP="00B92D01"/>
    <w:p w14:paraId="575E1E95" w14:textId="77777777" w:rsidR="00565B3A" w:rsidRPr="009C258B" w:rsidRDefault="00565B3A" w:rsidP="00B92D01"/>
    <w:p w14:paraId="7E972FAB" w14:textId="42349E4D" w:rsidR="00FC28B0" w:rsidRPr="009C258B" w:rsidRDefault="00AC03A6" w:rsidP="00B92D01">
      <w:pPr>
        <w:pStyle w:val="Ttulo1"/>
      </w:pPr>
      <w:r w:rsidRPr="009C258B">
        <w:lastRenderedPageBreak/>
        <w:t>Conclusão</w:t>
      </w:r>
    </w:p>
    <w:p w14:paraId="55AB4515" w14:textId="77A9BC06" w:rsidR="00AC03A6" w:rsidRPr="009C258B" w:rsidRDefault="00AC03A6" w:rsidP="00B92D01">
      <w:r w:rsidRPr="009C258B">
        <w:t>A título de conclusão,</w:t>
      </w:r>
      <w:r w:rsidRPr="009C258B">
        <w:rPr>
          <w:b/>
          <w:bCs/>
        </w:rPr>
        <w:t xml:space="preserve"> </w:t>
      </w:r>
      <w:r w:rsidRPr="009C258B">
        <w:t>gostaríamos de salientar o fato de que a crítica benjaminiana da empatia tem três dimensões interligadas.</w:t>
      </w:r>
    </w:p>
    <w:p w14:paraId="11C004E4" w14:textId="33988E01" w:rsidR="00AC03A6" w:rsidRPr="009C258B" w:rsidRDefault="00086AF4" w:rsidP="00B92D01">
      <w:r w:rsidRPr="009C258B">
        <w:t>Há uma dimensão estética, que está evidente nos estudos sobre o teatro épico, mas que pode ser lida também nas Teses, uma vez que est</w:t>
      </w:r>
      <w:r w:rsidR="00C15D8A">
        <w:t>as</w:t>
      </w:r>
      <w:r w:rsidRPr="009C258B">
        <w:t xml:space="preserve"> últimas não negligenciam a questão estética da escrita da história. Como as Teses estão longe de ser uma</w:t>
      </w:r>
      <w:r w:rsidR="00963A1D" w:rsidRPr="009C258B">
        <w:t xml:space="preserve"> simples</w:t>
      </w:r>
      <w:r w:rsidRPr="009C258B">
        <w:t xml:space="preserve"> “estetização da história”</w:t>
      </w:r>
      <w:r w:rsidRPr="009C258B">
        <w:rPr>
          <w:rStyle w:val="Refdenotaderodap"/>
          <w:rFonts w:eastAsia="Calibri" w:cs="Times New Roman"/>
          <w:szCs w:val="24"/>
        </w:rPr>
        <w:footnoteReference w:id="38"/>
      </w:r>
      <w:r w:rsidRPr="009C258B">
        <w:t>, essa dimensão estética é inseparável de outras duas: uma política e outra epistemológica.</w:t>
      </w:r>
    </w:p>
    <w:p w14:paraId="317E57CE" w14:textId="03B67575" w:rsidR="00086AF4" w:rsidRPr="009C258B" w:rsidRDefault="00086AF4" w:rsidP="00B92D01">
      <w:r w:rsidRPr="009C258B">
        <w:t>A dimensão pol</w:t>
      </w:r>
      <w:r w:rsidR="00AA6D8B" w:rsidRPr="009C258B">
        <w:t>í</w:t>
      </w:r>
      <w:r w:rsidRPr="009C258B">
        <w:t>tica da crítica da empatia é evidente nas Teses, mas ela também está claramente formulada nos estudos de Benjamin sobre Brecht. O teatro épico não pretende apenas provocar um espanto filosófico, mas também uma tomada de posição</w:t>
      </w:r>
      <w:r w:rsidR="00E4086A" w:rsidRPr="009C258B">
        <w:t xml:space="preserve"> prático-política</w:t>
      </w:r>
      <w:r w:rsidRPr="009C258B">
        <w:t xml:space="preserve"> em relação ao</w:t>
      </w:r>
      <w:r w:rsidR="00E4086A" w:rsidRPr="009C258B">
        <w:t>s eventos do</w:t>
      </w:r>
      <w:r w:rsidRPr="009C258B">
        <w:t xml:space="preserve"> palco e </w:t>
      </w:r>
      <w:r w:rsidR="00E4086A" w:rsidRPr="009C258B">
        <w:t>da vida</w:t>
      </w:r>
      <w:r w:rsidRPr="009C258B">
        <w:t xml:space="preserve">. É por isso que o estranhamento brechtiano </w:t>
      </w:r>
      <w:r w:rsidR="00E4086A" w:rsidRPr="009C258B">
        <w:t xml:space="preserve">se </w:t>
      </w:r>
      <w:r w:rsidRPr="009C258B">
        <w:t>distingue do kafkiano, tal como</w:t>
      </w:r>
      <w:r w:rsidR="00AE67F5" w:rsidRPr="009C258B">
        <w:t xml:space="preserve"> bem</w:t>
      </w:r>
      <w:r w:rsidRPr="009C258B">
        <w:t xml:space="preserve"> observou </w:t>
      </w:r>
      <w:r w:rsidR="00BE6BFB" w:rsidRPr="009C258B">
        <w:t xml:space="preserve">Jeanne Marie </w:t>
      </w:r>
      <w:proofErr w:type="spellStart"/>
      <w:r w:rsidRPr="009C258B">
        <w:t>Gagnebin</w:t>
      </w:r>
      <w:proofErr w:type="spellEnd"/>
      <w:r w:rsidR="00BE6BFB" w:rsidRPr="009C258B">
        <w:rPr>
          <w:rStyle w:val="Refdenotaderodap"/>
          <w:rFonts w:eastAsia="Calibri" w:cs="Times New Roman"/>
          <w:szCs w:val="24"/>
        </w:rPr>
        <w:footnoteReference w:id="39"/>
      </w:r>
      <w:r w:rsidR="00B24777">
        <w:t>.</w:t>
      </w:r>
      <w:r w:rsidRPr="009C258B">
        <w:t xml:space="preserve"> </w:t>
      </w:r>
    </w:p>
    <w:p w14:paraId="4A3F480C" w14:textId="09C4C719" w:rsidR="00E4086A" w:rsidRPr="009C258B" w:rsidRDefault="00E4086A" w:rsidP="00B92D01">
      <w:r w:rsidRPr="009C258B">
        <w:t xml:space="preserve">Há, por fim, </w:t>
      </w:r>
      <w:r w:rsidR="009E7071">
        <w:t>a</w:t>
      </w:r>
      <w:r w:rsidRPr="009C258B">
        <w:t xml:space="preserve"> dimensão epistemológica nessa reflexão (nas Teses e nos estudos sobre Brecht). O problema do conhecimento não é visto como uma questão técnica da filosofia da ciência, como no neokantismo que Benjamin estudou na juventude (já de um modo bastante crítico, e sempre contrapondo-o a questões</w:t>
      </w:r>
      <w:r w:rsidR="00BE6BFB" w:rsidRPr="009C258B">
        <w:t xml:space="preserve"> políticas,</w:t>
      </w:r>
      <w:r w:rsidRPr="009C258B">
        <w:t xml:space="preserve"> </w:t>
      </w:r>
      <w:r w:rsidR="003A296A" w:rsidRPr="009C258B">
        <w:t>artísticas</w:t>
      </w:r>
      <w:r w:rsidRPr="009C258B">
        <w:t xml:space="preserve"> e metaf</w:t>
      </w:r>
      <w:r w:rsidR="00B24777">
        <w:t>í</w:t>
      </w:r>
      <w:r w:rsidRPr="009C258B">
        <w:t xml:space="preserve">sicas que </w:t>
      </w:r>
      <w:r w:rsidR="003A296A" w:rsidRPr="009C258B">
        <w:t xml:space="preserve">o </w:t>
      </w:r>
      <w:r w:rsidR="00BE6BFB" w:rsidRPr="009C258B">
        <w:t>neokantismo</w:t>
      </w:r>
      <w:r w:rsidRPr="009C258B">
        <w:t xml:space="preserve"> </w:t>
      </w:r>
      <w:r w:rsidR="00BE6BFB" w:rsidRPr="009C258B">
        <w:t>tendia a</w:t>
      </w:r>
      <w:r w:rsidRPr="009C258B">
        <w:t xml:space="preserve"> </w:t>
      </w:r>
      <w:r w:rsidR="009E7071">
        <w:t>negligenciar)</w:t>
      </w:r>
      <w:r w:rsidRPr="009C258B">
        <w:t>.</w:t>
      </w:r>
      <w:r w:rsidR="003A296A" w:rsidRPr="009C258B">
        <w:t xml:space="preserve"> Se </w:t>
      </w:r>
      <w:r w:rsidR="00795B20">
        <w:t>a n</w:t>
      </w:r>
      <w:r w:rsidR="003A296A" w:rsidRPr="009C258B">
        <w:t xml:space="preserve">ossa leitura for correta, podemos até mesmo dizer que a questão do conhecimento histórico, na Tese VII, é </w:t>
      </w:r>
      <w:r w:rsidR="00BE6BFB" w:rsidRPr="009C258B">
        <w:t xml:space="preserve">uma </w:t>
      </w:r>
      <w:r w:rsidR="003A296A" w:rsidRPr="009C258B">
        <w:t xml:space="preserve">espécie de </w:t>
      </w:r>
      <w:r w:rsidR="00795B20">
        <w:t>“</w:t>
      </w:r>
      <w:r w:rsidR="003A296A" w:rsidRPr="009C258B">
        <w:t>tradução</w:t>
      </w:r>
      <w:r w:rsidR="00795B20">
        <w:t>”</w:t>
      </w:r>
      <w:r w:rsidR="003A296A" w:rsidRPr="009C258B">
        <w:t xml:space="preserve"> historiográfica dos princípios do teatro épico no que se refere ao problema da empatia</w:t>
      </w:r>
      <w:r w:rsidR="00C40664" w:rsidRPr="009C258B">
        <w:rPr>
          <w:rStyle w:val="Refdenotaderodap"/>
          <w:rFonts w:eastAsia="Calibri" w:cs="Times New Roman"/>
          <w:szCs w:val="24"/>
        </w:rPr>
        <w:footnoteReference w:id="40"/>
      </w:r>
      <w:r w:rsidR="00B24777">
        <w:t>:</w:t>
      </w:r>
      <w:r w:rsidR="00323EC8" w:rsidRPr="009C258B">
        <w:t xml:space="preserve"> </w:t>
      </w:r>
      <w:r w:rsidR="003A296A" w:rsidRPr="009C258B">
        <w:t xml:space="preserve">a identificação naturalista com o herói torna-se </w:t>
      </w:r>
      <w:r w:rsidR="006963DA" w:rsidRPr="009C258B">
        <w:t xml:space="preserve">a </w:t>
      </w:r>
      <w:r w:rsidR="003A296A" w:rsidRPr="009C258B">
        <w:t xml:space="preserve">identificação burguesa com os vencedores; </w:t>
      </w:r>
      <w:r w:rsidR="000002F8" w:rsidRPr="009C258B">
        <w:t>a imersão contemplativa</w:t>
      </w:r>
      <w:r w:rsidR="0093770B" w:rsidRPr="009C258B">
        <w:t xml:space="preserve"> no prazer estético </w:t>
      </w:r>
      <w:r w:rsidR="000002F8" w:rsidRPr="009C258B">
        <w:t xml:space="preserve">torna-se a melancólica inércia do coração, que faz o historiador idealista buscar no passado um alento contra o prosaísmo da vida </w:t>
      </w:r>
      <w:r w:rsidR="006963DA" w:rsidRPr="009C258B">
        <w:t>moderna</w:t>
      </w:r>
      <w:r w:rsidR="0093770B" w:rsidRPr="009C258B">
        <w:t>, da mesma forma que o leitor do romance moderno procurava aquecer na leitura a sua vida solitária e fria</w:t>
      </w:r>
      <w:r w:rsidR="0093770B" w:rsidRPr="009C258B">
        <w:rPr>
          <w:rStyle w:val="Refdenotaderodap"/>
          <w:rFonts w:eastAsia="Calibri" w:cs="Times New Roman"/>
          <w:szCs w:val="24"/>
        </w:rPr>
        <w:footnoteReference w:id="41"/>
      </w:r>
      <w:r w:rsidR="00B24777">
        <w:t>;</w:t>
      </w:r>
      <w:r w:rsidR="000002F8" w:rsidRPr="009C258B">
        <w:t xml:space="preserve"> e</w:t>
      </w:r>
      <w:r w:rsidR="0093770B" w:rsidRPr="009C258B">
        <w:t>, por fim,</w:t>
      </w:r>
      <w:r w:rsidR="000002F8" w:rsidRPr="009C258B">
        <w:t xml:space="preserve"> a crítica </w:t>
      </w:r>
      <w:r w:rsidR="000002F8" w:rsidRPr="009C258B">
        <w:lastRenderedPageBreak/>
        <w:t xml:space="preserve">das duas atitudes é feita segunda a mesma divisa: o distanciamento reflexivo e </w:t>
      </w:r>
      <w:r w:rsidR="0093770B" w:rsidRPr="009C258B">
        <w:t xml:space="preserve">a </w:t>
      </w:r>
      <w:r w:rsidR="000002F8" w:rsidRPr="009C258B">
        <w:t>tomada de posição ativa, sem ilusões compensatórias, sem idealização do passado</w:t>
      </w:r>
      <w:r w:rsidR="007D542D" w:rsidRPr="009C258B">
        <w:rPr>
          <w:rStyle w:val="Refdenotaderodap"/>
          <w:rFonts w:eastAsia="Calibri" w:cs="Times New Roman"/>
          <w:szCs w:val="24"/>
        </w:rPr>
        <w:footnoteReference w:id="42"/>
      </w:r>
      <w:r w:rsidR="00B24777">
        <w:t>.</w:t>
      </w:r>
      <w:r w:rsidR="000002F8" w:rsidRPr="009C258B">
        <w:tab/>
      </w:r>
    </w:p>
    <w:p w14:paraId="5E191E29" w14:textId="5D16C965" w:rsidR="00C40270" w:rsidRPr="00B92D01" w:rsidRDefault="006963DA" w:rsidP="00B92D01">
      <w:pPr>
        <w:rPr>
          <w:color w:val="auto"/>
        </w:rPr>
      </w:pPr>
      <w:r w:rsidRPr="009C258B">
        <w:t>P</w:t>
      </w:r>
      <w:r w:rsidR="00795B20">
        <w:t>ara terminar</w:t>
      </w:r>
      <w:r w:rsidRPr="009C258B">
        <w:t>, gostaríamos apenas de salientar o fato de que, p</w:t>
      </w:r>
      <w:r w:rsidR="00096027" w:rsidRPr="009C258B">
        <w:t xml:space="preserve">ara seguir o fio dessa interligação entre o estético, o político e o epistemológico, nossa estratégia foi acompanhar o </w:t>
      </w:r>
      <w:r w:rsidR="00096027" w:rsidRPr="009C258B">
        <w:rPr>
          <w:i/>
          <w:iCs/>
        </w:rPr>
        <w:t>vocabulário</w:t>
      </w:r>
      <w:r w:rsidR="00096027" w:rsidRPr="009C258B">
        <w:t xml:space="preserve"> dos três autores em questão, mostrando como os temas derivados de </w:t>
      </w:r>
      <w:proofErr w:type="spellStart"/>
      <w:r w:rsidR="00096027" w:rsidRPr="009C258B">
        <w:rPr>
          <w:i/>
          <w:iCs/>
        </w:rPr>
        <w:t>erleben</w:t>
      </w:r>
      <w:proofErr w:type="spellEnd"/>
      <w:r w:rsidR="00096027" w:rsidRPr="009C258B">
        <w:t xml:space="preserve"> (vivenciar, experimentar, viver), tais como </w:t>
      </w:r>
      <w:proofErr w:type="spellStart"/>
      <w:r w:rsidR="00096027" w:rsidRPr="009C258B">
        <w:rPr>
          <w:i/>
          <w:iCs/>
        </w:rPr>
        <w:t>Erlebnis</w:t>
      </w:r>
      <w:proofErr w:type="spellEnd"/>
      <w:r w:rsidR="00096027" w:rsidRPr="009C258B">
        <w:t xml:space="preserve"> (vivência) e  </w:t>
      </w:r>
      <w:proofErr w:type="spellStart"/>
      <w:r w:rsidR="00096027" w:rsidRPr="009C258B">
        <w:rPr>
          <w:i/>
          <w:iCs/>
        </w:rPr>
        <w:t>nacherleben</w:t>
      </w:r>
      <w:proofErr w:type="spellEnd"/>
      <w:r w:rsidR="00096027" w:rsidRPr="009C258B">
        <w:t xml:space="preserve"> (</w:t>
      </w:r>
      <w:proofErr w:type="spellStart"/>
      <w:r w:rsidR="00096027" w:rsidRPr="009C258B">
        <w:t>revivenciar</w:t>
      </w:r>
      <w:proofErr w:type="spellEnd"/>
      <w:r w:rsidR="00096027" w:rsidRPr="009C258B">
        <w:t>) estavam presentes nos textos, mostrando</w:t>
      </w:r>
      <w:r w:rsidRPr="009C258B">
        <w:t xml:space="preserve"> assim</w:t>
      </w:r>
      <w:r w:rsidR="00096027" w:rsidRPr="009C258B">
        <w:t xml:space="preserve"> que a questão da crítica da vivência e da empatia </w:t>
      </w:r>
      <w:r w:rsidR="009E7071">
        <w:t>é uma cons</w:t>
      </w:r>
      <w:r w:rsidR="00096027" w:rsidRPr="009C258B">
        <w:t xml:space="preserve">telação </w:t>
      </w:r>
      <w:r w:rsidRPr="009C258B">
        <w:t>importante</w:t>
      </w:r>
      <w:r w:rsidR="00096027" w:rsidRPr="009C258B">
        <w:t xml:space="preserve"> no pensamento </w:t>
      </w:r>
      <w:r w:rsidR="009E7071">
        <w:t>de</w:t>
      </w:r>
      <w:r w:rsidR="00096027" w:rsidRPr="009C258B">
        <w:t xml:space="preserve"> </w:t>
      </w:r>
      <w:r w:rsidRPr="009C258B">
        <w:t>B</w:t>
      </w:r>
      <w:r w:rsidR="00096027" w:rsidRPr="009C258B">
        <w:t>enjamin</w:t>
      </w:r>
      <w:bookmarkEnd w:id="1"/>
      <w:r w:rsidR="009E7071">
        <w:t xml:space="preserve"> e que ela deve ser estudada a partir das fontes do seu pensamento.</w:t>
      </w:r>
    </w:p>
    <w:p w14:paraId="68F22173" w14:textId="36F356F9" w:rsidR="00B128BB" w:rsidRDefault="00B128BB" w:rsidP="00754C39"/>
    <w:p w14:paraId="305C5018" w14:textId="77777777" w:rsidR="009A496E" w:rsidRPr="006077B4" w:rsidRDefault="009A496E" w:rsidP="00754C39"/>
    <w:p w14:paraId="67C9EB48" w14:textId="421585F9" w:rsidR="00680248" w:rsidRPr="00ED76FC" w:rsidRDefault="00A82A2A" w:rsidP="00B92D01">
      <w:pPr>
        <w:pStyle w:val="Ttulo1"/>
        <w:rPr>
          <w:lang w:val="de-DE"/>
        </w:rPr>
      </w:pPr>
      <w:r w:rsidRPr="00ED76FC">
        <w:rPr>
          <w:lang w:val="de-DE"/>
        </w:rPr>
        <w:t>Referências bibliográficas</w:t>
      </w:r>
    </w:p>
    <w:p w14:paraId="7F13208A" w14:textId="0826AD85" w:rsidR="00680248" w:rsidRDefault="00CB5573" w:rsidP="002E62AF">
      <w:pPr>
        <w:shd w:val="clear" w:color="auto" w:fill="FFFFFF"/>
        <w:spacing w:line="240" w:lineRule="auto"/>
        <w:ind w:firstLine="0"/>
        <w:contextualSpacing/>
        <w:mirrorIndents/>
        <w:rPr>
          <w:rFonts w:cs="Times New Roman"/>
          <w:szCs w:val="24"/>
          <w:shd w:val="clear" w:color="auto" w:fill="FFFFFF"/>
        </w:rPr>
      </w:pPr>
      <w:r w:rsidRPr="00ED76FC">
        <w:rPr>
          <w:rFonts w:cs="Times New Roman"/>
          <w:szCs w:val="24"/>
          <w:lang w:val="de-DE"/>
        </w:rPr>
        <w:t>ALLESCH</w:t>
      </w:r>
      <w:r w:rsidR="009452D5" w:rsidRPr="00ED76FC">
        <w:rPr>
          <w:rFonts w:cs="Times New Roman"/>
          <w:szCs w:val="24"/>
          <w:lang w:val="de-DE"/>
        </w:rPr>
        <w:t>, C.</w:t>
      </w:r>
      <w:r w:rsidR="00BE2A63" w:rsidRPr="00ED76FC">
        <w:rPr>
          <w:rFonts w:cs="Times New Roman"/>
          <w:szCs w:val="24"/>
          <w:lang w:val="de-DE"/>
        </w:rPr>
        <w:t xml:space="preserve"> </w:t>
      </w:r>
      <w:r w:rsidR="00680248" w:rsidRPr="00565B3A">
        <w:rPr>
          <w:rFonts w:cs="Times New Roman"/>
          <w:b/>
          <w:bCs/>
          <w:szCs w:val="24"/>
          <w:shd w:val="clear" w:color="auto" w:fill="FFFFFF"/>
          <w:lang w:val="de-DE"/>
        </w:rPr>
        <w:t>Geschichte der psychologischen Ästhetik</w:t>
      </w:r>
      <w:r w:rsidR="00680248" w:rsidRPr="00ED76FC">
        <w:rPr>
          <w:rFonts w:cs="Times New Roman"/>
          <w:szCs w:val="24"/>
          <w:shd w:val="clear" w:color="auto" w:fill="FFFFFF"/>
          <w:lang w:val="de-DE"/>
        </w:rPr>
        <w:t xml:space="preserve">. </w:t>
      </w:r>
      <w:proofErr w:type="spellStart"/>
      <w:r w:rsidR="00680248" w:rsidRPr="009C258B">
        <w:rPr>
          <w:rFonts w:cs="Times New Roman"/>
          <w:szCs w:val="24"/>
          <w:shd w:val="clear" w:color="auto" w:fill="FFFFFF"/>
        </w:rPr>
        <w:t>Göttingen</w:t>
      </w:r>
      <w:proofErr w:type="spellEnd"/>
      <w:r w:rsidR="00680248" w:rsidRPr="009C258B">
        <w:rPr>
          <w:rFonts w:cs="Times New Roman"/>
          <w:szCs w:val="24"/>
          <w:shd w:val="clear" w:color="auto" w:fill="FFFFFF"/>
        </w:rPr>
        <w:t xml:space="preserve">: </w:t>
      </w:r>
      <w:proofErr w:type="spellStart"/>
      <w:r w:rsidR="00680248" w:rsidRPr="009C258B">
        <w:rPr>
          <w:rFonts w:cs="Times New Roman"/>
          <w:szCs w:val="24"/>
          <w:shd w:val="clear" w:color="auto" w:fill="FFFFFF"/>
        </w:rPr>
        <w:t>Verlag</w:t>
      </w:r>
      <w:proofErr w:type="spellEnd"/>
      <w:r w:rsidR="00680248" w:rsidRPr="009C258B">
        <w:rPr>
          <w:rFonts w:cs="Times New Roman"/>
          <w:szCs w:val="24"/>
          <w:shd w:val="clear" w:color="auto" w:fill="FFFFFF"/>
        </w:rPr>
        <w:t xml:space="preserve"> </w:t>
      </w:r>
      <w:proofErr w:type="spellStart"/>
      <w:r w:rsidR="00680248" w:rsidRPr="009C258B">
        <w:rPr>
          <w:rFonts w:cs="Times New Roman"/>
          <w:szCs w:val="24"/>
          <w:shd w:val="clear" w:color="auto" w:fill="FFFFFF"/>
        </w:rPr>
        <w:t>für</w:t>
      </w:r>
      <w:proofErr w:type="spellEnd"/>
      <w:r w:rsidR="00AC63F3">
        <w:rPr>
          <w:rFonts w:cs="Times New Roman"/>
          <w:szCs w:val="24"/>
          <w:shd w:val="clear" w:color="auto" w:fill="FFFFFF"/>
        </w:rPr>
        <w:t xml:space="preserve"> </w:t>
      </w:r>
      <w:proofErr w:type="spellStart"/>
      <w:r w:rsidR="00680248" w:rsidRPr="009C258B">
        <w:rPr>
          <w:rFonts w:cs="Times New Roman"/>
          <w:szCs w:val="24"/>
          <w:shd w:val="clear" w:color="auto" w:fill="FFFFFF"/>
        </w:rPr>
        <w:t>Psychologie</w:t>
      </w:r>
      <w:proofErr w:type="spellEnd"/>
      <w:r w:rsidR="00680248" w:rsidRPr="009C258B">
        <w:rPr>
          <w:rFonts w:cs="Times New Roman"/>
          <w:i/>
          <w:iCs/>
          <w:szCs w:val="24"/>
          <w:shd w:val="clear" w:color="auto" w:fill="FFFFFF"/>
        </w:rPr>
        <w:t>,</w:t>
      </w:r>
      <w:r w:rsidR="006077B4">
        <w:rPr>
          <w:rFonts w:cs="Times New Roman"/>
          <w:szCs w:val="24"/>
          <w:shd w:val="clear" w:color="auto" w:fill="FFFFFF"/>
        </w:rPr>
        <w:t xml:space="preserve"> </w:t>
      </w:r>
      <w:r w:rsidR="00680248" w:rsidRPr="009C258B">
        <w:rPr>
          <w:rFonts w:cs="Times New Roman"/>
          <w:szCs w:val="24"/>
          <w:shd w:val="clear" w:color="auto" w:fill="FFFFFF"/>
        </w:rPr>
        <w:t>1987.</w:t>
      </w:r>
    </w:p>
    <w:p w14:paraId="0EA836EC" w14:textId="77777777" w:rsidR="006077B4" w:rsidRPr="009C258B" w:rsidRDefault="006077B4" w:rsidP="002E62AF">
      <w:pPr>
        <w:shd w:val="clear" w:color="auto" w:fill="FFFFFF"/>
        <w:spacing w:line="240" w:lineRule="auto"/>
        <w:ind w:firstLine="0"/>
        <w:contextualSpacing/>
        <w:mirrorIndents/>
        <w:rPr>
          <w:rFonts w:cs="Times New Roman"/>
          <w:szCs w:val="24"/>
          <w:shd w:val="clear" w:color="auto" w:fill="FFFFFF"/>
        </w:rPr>
      </w:pPr>
    </w:p>
    <w:p w14:paraId="446F313F" w14:textId="60856A61" w:rsidR="009452D5" w:rsidRDefault="00CB5573" w:rsidP="002E62AF">
      <w:pPr>
        <w:shd w:val="clear" w:color="auto" w:fill="FFFFFF"/>
        <w:spacing w:line="240" w:lineRule="auto"/>
        <w:ind w:firstLine="0"/>
        <w:contextualSpacing/>
        <w:mirrorIndents/>
        <w:rPr>
          <w:rFonts w:cs="Times New Roman"/>
          <w:szCs w:val="24"/>
          <w:shd w:val="clear" w:color="auto" w:fill="FFFFFF"/>
          <w:lang w:val="de-DE"/>
        </w:rPr>
      </w:pPr>
      <w:r w:rsidRPr="009C258B">
        <w:rPr>
          <w:rFonts w:cs="Times New Roman"/>
          <w:szCs w:val="24"/>
          <w:shd w:val="clear" w:color="auto" w:fill="FFFFFF"/>
        </w:rPr>
        <w:t>AMARAL</w:t>
      </w:r>
      <w:r w:rsidR="009452D5" w:rsidRPr="009C258B">
        <w:rPr>
          <w:rFonts w:cs="Times New Roman"/>
          <w:szCs w:val="24"/>
          <w:shd w:val="clear" w:color="auto" w:fill="FFFFFF"/>
        </w:rPr>
        <w:t>, N.</w:t>
      </w:r>
      <w:r w:rsidR="005F5B12" w:rsidRPr="009C258B">
        <w:rPr>
          <w:rFonts w:cs="Times New Roman"/>
          <w:szCs w:val="24"/>
          <w:shd w:val="clear" w:color="auto" w:fill="FFFFFF"/>
        </w:rPr>
        <w:t xml:space="preserve"> </w:t>
      </w:r>
      <w:proofErr w:type="spellStart"/>
      <w:r w:rsidR="005F5B12" w:rsidRPr="009C258B">
        <w:rPr>
          <w:rFonts w:cs="Times New Roman"/>
          <w:szCs w:val="24"/>
          <w:shd w:val="clear" w:color="auto" w:fill="FFFFFF"/>
        </w:rPr>
        <w:t>Dilthey</w:t>
      </w:r>
      <w:proofErr w:type="spellEnd"/>
      <w:r w:rsidR="005F5B12" w:rsidRPr="009C258B">
        <w:rPr>
          <w:rFonts w:cs="Times New Roman"/>
          <w:szCs w:val="24"/>
          <w:shd w:val="clear" w:color="auto" w:fill="FFFFFF"/>
        </w:rPr>
        <w:t xml:space="preserve"> – Conceito de vivência e os limites da compreensão nas ciências do espírito. </w:t>
      </w:r>
      <w:r w:rsidR="005F5B12" w:rsidRPr="00ED76FC">
        <w:rPr>
          <w:rFonts w:cs="Times New Roman"/>
          <w:i/>
          <w:iCs/>
          <w:szCs w:val="24"/>
          <w:shd w:val="clear" w:color="auto" w:fill="FFFFFF"/>
          <w:lang w:val="de-DE"/>
        </w:rPr>
        <w:t>Trans/Form/Ação</w:t>
      </w:r>
      <w:r w:rsidR="005F5B12" w:rsidRPr="00ED76FC">
        <w:rPr>
          <w:rFonts w:cs="Times New Roman"/>
          <w:szCs w:val="24"/>
          <w:shd w:val="clear" w:color="auto" w:fill="FFFFFF"/>
          <w:lang w:val="de-DE"/>
        </w:rPr>
        <w:t xml:space="preserve">, </w:t>
      </w:r>
      <w:r w:rsidR="004B0E2D" w:rsidRPr="00ED76FC">
        <w:rPr>
          <w:rFonts w:cs="Times New Roman"/>
          <w:szCs w:val="24"/>
          <w:shd w:val="clear" w:color="auto" w:fill="FFFFFF"/>
          <w:lang w:val="de-DE"/>
        </w:rPr>
        <w:t xml:space="preserve">v. </w:t>
      </w:r>
      <w:r w:rsidR="005F5B12" w:rsidRPr="00ED76FC">
        <w:rPr>
          <w:rFonts w:cs="Times New Roman"/>
          <w:szCs w:val="24"/>
          <w:shd w:val="clear" w:color="auto" w:fill="FFFFFF"/>
          <w:lang w:val="de-DE"/>
        </w:rPr>
        <w:t>27</w:t>
      </w:r>
      <w:r w:rsidR="004B0E2D" w:rsidRPr="00ED76FC">
        <w:rPr>
          <w:rFonts w:cs="Times New Roman"/>
          <w:szCs w:val="24"/>
          <w:shd w:val="clear" w:color="auto" w:fill="FFFFFF"/>
          <w:lang w:val="de-DE"/>
        </w:rPr>
        <w:t xml:space="preserve">, n. </w:t>
      </w:r>
      <w:r w:rsidR="005F5B12" w:rsidRPr="00ED76FC">
        <w:rPr>
          <w:rFonts w:cs="Times New Roman"/>
          <w:szCs w:val="24"/>
          <w:shd w:val="clear" w:color="auto" w:fill="FFFFFF"/>
          <w:lang w:val="de-DE"/>
        </w:rPr>
        <w:t>2,</w:t>
      </w:r>
      <w:r w:rsidR="00565B3A">
        <w:rPr>
          <w:rFonts w:cs="Times New Roman"/>
          <w:szCs w:val="24"/>
          <w:shd w:val="clear" w:color="auto" w:fill="FFFFFF"/>
          <w:lang w:val="de-DE"/>
        </w:rPr>
        <w:t xml:space="preserve"> p. 51-73,</w:t>
      </w:r>
      <w:r w:rsidR="005F5B12" w:rsidRPr="00ED76FC">
        <w:rPr>
          <w:rFonts w:cs="Times New Roman"/>
          <w:szCs w:val="24"/>
          <w:shd w:val="clear" w:color="auto" w:fill="FFFFFF"/>
          <w:lang w:val="de-DE"/>
        </w:rPr>
        <w:t xml:space="preserve"> 2004.</w:t>
      </w:r>
    </w:p>
    <w:p w14:paraId="1A187B42" w14:textId="77777777" w:rsidR="006077B4" w:rsidRPr="00ED76FC" w:rsidRDefault="006077B4" w:rsidP="002E62AF">
      <w:pPr>
        <w:shd w:val="clear" w:color="auto" w:fill="FFFFFF"/>
        <w:spacing w:line="240" w:lineRule="auto"/>
        <w:ind w:firstLine="0"/>
        <w:contextualSpacing/>
        <w:mirrorIndents/>
        <w:rPr>
          <w:rFonts w:cs="Times New Roman"/>
          <w:szCs w:val="24"/>
          <w:shd w:val="clear" w:color="auto" w:fill="FFFFFF"/>
          <w:lang w:val="de-DE"/>
        </w:rPr>
      </w:pPr>
    </w:p>
    <w:p w14:paraId="15AF7631" w14:textId="657AA57A" w:rsidR="00BC2005" w:rsidRDefault="00565B3A" w:rsidP="002E62AF">
      <w:pPr>
        <w:shd w:val="clear" w:color="auto" w:fill="FFFFFF"/>
        <w:spacing w:line="240" w:lineRule="auto"/>
        <w:ind w:firstLine="0"/>
        <w:contextualSpacing/>
        <w:mirrorIndents/>
        <w:rPr>
          <w:rFonts w:cs="Times New Roman"/>
          <w:szCs w:val="24"/>
          <w:shd w:val="clear" w:color="auto" w:fill="FFFFFF"/>
          <w:lang w:val="de-DE"/>
        </w:rPr>
      </w:pPr>
      <w:r w:rsidRPr="00565B3A">
        <w:rPr>
          <w:rFonts w:cs="Times New Roman"/>
          <w:szCs w:val="24"/>
          <w:shd w:val="clear" w:color="auto" w:fill="FFFFFF"/>
          <w:lang w:val="de-DE"/>
        </w:rPr>
        <w:t>ARISTÓTELES</w:t>
      </w:r>
      <w:r w:rsidR="00BC2005" w:rsidRPr="00565B3A">
        <w:rPr>
          <w:rFonts w:cs="Times New Roman"/>
          <w:szCs w:val="24"/>
          <w:shd w:val="clear" w:color="auto" w:fill="FFFFFF"/>
          <w:lang w:val="de-DE"/>
        </w:rPr>
        <w:t xml:space="preserve">. </w:t>
      </w:r>
      <w:r w:rsidR="00BC2005" w:rsidRPr="00565B3A">
        <w:rPr>
          <w:rFonts w:cs="Times New Roman"/>
          <w:b/>
          <w:bCs/>
          <w:szCs w:val="24"/>
          <w:shd w:val="clear" w:color="auto" w:fill="FFFFFF"/>
          <w:lang w:val="de-DE"/>
        </w:rPr>
        <w:t>Philosophischen Schriften</w:t>
      </w:r>
      <w:r w:rsidR="00CD6226" w:rsidRPr="00565B3A">
        <w:rPr>
          <w:rFonts w:cs="Times New Roman"/>
          <w:i/>
          <w:iCs/>
          <w:szCs w:val="24"/>
          <w:shd w:val="clear" w:color="auto" w:fill="FFFFFF"/>
          <w:lang w:val="de-DE"/>
        </w:rPr>
        <w:t>.</w:t>
      </w:r>
      <w:r w:rsidR="00BC2005" w:rsidRPr="00565B3A">
        <w:rPr>
          <w:rFonts w:cs="Times New Roman"/>
          <w:i/>
          <w:iCs/>
          <w:szCs w:val="24"/>
          <w:shd w:val="clear" w:color="auto" w:fill="FFFFFF"/>
          <w:lang w:val="de-DE"/>
        </w:rPr>
        <w:t xml:space="preserve"> </w:t>
      </w:r>
      <w:r w:rsidR="00CD6226" w:rsidRPr="00A912D5">
        <w:rPr>
          <w:rFonts w:cs="Times New Roman"/>
          <w:szCs w:val="24"/>
          <w:shd w:val="clear" w:color="auto" w:fill="FFFFFF"/>
          <w:lang w:val="de-DE"/>
        </w:rPr>
        <w:t xml:space="preserve">Band </w:t>
      </w:r>
      <w:r w:rsidR="00BC2005" w:rsidRPr="00A912D5">
        <w:rPr>
          <w:rFonts w:cs="Times New Roman"/>
          <w:szCs w:val="24"/>
          <w:shd w:val="clear" w:color="auto" w:fill="FFFFFF"/>
          <w:lang w:val="de-DE"/>
        </w:rPr>
        <w:t>5</w:t>
      </w:r>
      <w:r w:rsidR="00BC2005" w:rsidRPr="00565B3A">
        <w:rPr>
          <w:rFonts w:cs="Times New Roman"/>
          <w:szCs w:val="24"/>
          <w:shd w:val="clear" w:color="auto" w:fill="FFFFFF"/>
          <w:lang w:val="de-DE"/>
        </w:rPr>
        <w:t>.</w:t>
      </w:r>
      <w:r w:rsidR="00CD6226" w:rsidRPr="00565B3A">
        <w:rPr>
          <w:rFonts w:cs="Times New Roman"/>
          <w:szCs w:val="24"/>
          <w:shd w:val="clear" w:color="auto" w:fill="FFFFFF"/>
          <w:lang w:val="de-DE"/>
        </w:rPr>
        <w:t xml:space="preserve"> Hamburg: Felix Meiner, 2019.</w:t>
      </w:r>
    </w:p>
    <w:p w14:paraId="22825947" w14:textId="77777777" w:rsidR="006077B4" w:rsidRPr="00ED76FC" w:rsidRDefault="006077B4" w:rsidP="002E62AF">
      <w:pPr>
        <w:shd w:val="clear" w:color="auto" w:fill="FFFFFF"/>
        <w:spacing w:line="240" w:lineRule="auto"/>
        <w:ind w:firstLine="0"/>
        <w:contextualSpacing/>
        <w:mirrorIndents/>
        <w:rPr>
          <w:rFonts w:cs="Times New Roman"/>
          <w:szCs w:val="24"/>
          <w:shd w:val="clear" w:color="auto" w:fill="FFFFFF"/>
          <w:lang w:val="de-DE"/>
        </w:rPr>
      </w:pPr>
    </w:p>
    <w:p w14:paraId="0585E488" w14:textId="061EB38C" w:rsidR="00982548" w:rsidRDefault="00CB5573" w:rsidP="002E62AF">
      <w:pPr>
        <w:shd w:val="clear" w:color="auto" w:fill="FFFFFF"/>
        <w:spacing w:line="240" w:lineRule="auto"/>
        <w:ind w:firstLine="0"/>
        <w:contextualSpacing/>
        <w:mirrorIndents/>
        <w:rPr>
          <w:rFonts w:eastAsia="Times New Roman" w:cs="Times New Roman"/>
          <w:iCs/>
          <w:szCs w:val="24"/>
          <w:lang w:val="de-DE" w:eastAsia="pt-BR"/>
        </w:rPr>
      </w:pPr>
      <w:r w:rsidRPr="002E62AF">
        <w:rPr>
          <w:rFonts w:eastAsia="Times New Roman" w:cs="Times New Roman"/>
          <w:iCs/>
          <w:szCs w:val="24"/>
          <w:lang w:val="de-DE" w:eastAsia="pt-BR"/>
        </w:rPr>
        <w:t>BARCK</w:t>
      </w:r>
      <w:r w:rsidR="00982548" w:rsidRPr="002E62AF">
        <w:rPr>
          <w:rFonts w:eastAsia="Times New Roman" w:cs="Times New Roman"/>
          <w:iCs/>
          <w:szCs w:val="24"/>
          <w:lang w:val="de-DE" w:eastAsia="pt-BR"/>
        </w:rPr>
        <w:t>, K.</w:t>
      </w:r>
      <w:r w:rsidR="00565B3A" w:rsidRPr="002E62AF">
        <w:rPr>
          <w:rFonts w:eastAsia="Times New Roman" w:cs="Times New Roman"/>
          <w:iCs/>
          <w:szCs w:val="24"/>
          <w:lang w:val="de-DE" w:eastAsia="pt-BR"/>
        </w:rPr>
        <w:t xml:space="preserve"> </w:t>
      </w:r>
      <w:r w:rsidR="00565B3A" w:rsidRPr="002E62AF">
        <w:rPr>
          <w:rFonts w:eastAsia="Times New Roman" w:cs="Times New Roman"/>
          <w:i/>
          <w:szCs w:val="24"/>
          <w:lang w:val="de-DE" w:eastAsia="pt-BR"/>
        </w:rPr>
        <w:t>et al.</w:t>
      </w:r>
      <w:r w:rsidR="00982548" w:rsidRPr="002E62AF">
        <w:rPr>
          <w:rFonts w:eastAsia="Times New Roman" w:cs="Times New Roman"/>
          <w:iCs/>
          <w:szCs w:val="24"/>
          <w:lang w:val="de-DE" w:eastAsia="pt-BR"/>
        </w:rPr>
        <w:t xml:space="preserve"> </w:t>
      </w:r>
      <w:bookmarkStart w:id="12" w:name="_Hlk209771037"/>
      <w:r w:rsidR="00982548" w:rsidRPr="00565B3A">
        <w:rPr>
          <w:rFonts w:eastAsia="Times New Roman" w:cs="Times New Roman"/>
          <w:b/>
          <w:bCs/>
          <w:iCs/>
          <w:szCs w:val="24"/>
          <w:lang w:val="de-DE" w:eastAsia="pt-BR"/>
        </w:rPr>
        <w:t>Ästhetische Grundbegriffe</w:t>
      </w:r>
      <w:r w:rsidR="00982548" w:rsidRPr="00ED76FC">
        <w:rPr>
          <w:rFonts w:eastAsia="Times New Roman" w:cs="Times New Roman"/>
          <w:iCs/>
          <w:szCs w:val="24"/>
          <w:lang w:val="de-DE" w:eastAsia="pt-BR"/>
        </w:rPr>
        <w:t>.</w:t>
      </w:r>
      <w:r w:rsidR="000C7735" w:rsidRPr="00A912D5">
        <w:rPr>
          <w:rFonts w:eastAsia="Times New Roman" w:cs="Times New Roman"/>
          <w:iCs/>
          <w:szCs w:val="24"/>
          <w:lang w:val="de-DE" w:eastAsia="pt-BR"/>
        </w:rPr>
        <w:t xml:space="preserve"> Band II</w:t>
      </w:r>
      <w:bookmarkEnd w:id="12"/>
      <w:r w:rsidR="000C7735" w:rsidRPr="00ED76FC">
        <w:rPr>
          <w:rFonts w:eastAsia="Times New Roman" w:cs="Times New Roman"/>
          <w:iCs/>
          <w:szCs w:val="24"/>
          <w:lang w:val="de-DE" w:eastAsia="pt-BR"/>
        </w:rPr>
        <w:t>.</w:t>
      </w:r>
      <w:r w:rsidR="00D14BAA" w:rsidRPr="00ED76FC">
        <w:rPr>
          <w:rFonts w:eastAsia="Times New Roman" w:cs="Times New Roman"/>
          <w:iCs/>
          <w:szCs w:val="24"/>
          <w:lang w:val="de-DE" w:eastAsia="pt-BR"/>
        </w:rPr>
        <w:t xml:space="preserve"> </w:t>
      </w:r>
      <w:r w:rsidR="000C7735" w:rsidRPr="00ED76FC">
        <w:rPr>
          <w:rFonts w:eastAsia="Times New Roman" w:cs="Times New Roman"/>
          <w:iCs/>
          <w:szCs w:val="24"/>
          <w:lang w:val="de-DE" w:eastAsia="pt-BR"/>
        </w:rPr>
        <w:t xml:space="preserve">Stuttgart: J.B. Metzler, </w:t>
      </w:r>
      <w:r w:rsidR="00D14BAA" w:rsidRPr="00ED76FC">
        <w:rPr>
          <w:rFonts w:eastAsia="Times New Roman" w:cs="Times New Roman"/>
          <w:iCs/>
          <w:szCs w:val="24"/>
          <w:lang w:val="de-DE" w:eastAsia="pt-BR"/>
        </w:rPr>
        <w:t>2010</w:t>
      </w:r>
      <w:r w:rsidR="000C7735" w:rsidRPr="00ED76FC">
        <w:rPr>
          <w:rFonts w:eastAsia="Times New Roman" w:cs="Times New Roman"/>
          <w:iCs/>
          <w:szCs w:val="24"/>
          <w:lang w:val="de-DE" w:eastAsia="pt-BR"/>
        </w:rPr>
        <w:t>a.</w:t>
      </w:r>
    </w:p>
    <w:p w14:paraId="4FAB05E7" w14:textId="77777777" w:rsidR="006077B4" w:rsidRPr="00ED76FC" w:rsidRDefault="006077B4" w:rsidP="002E62AF">
      <w:pPr>
        <w:shd w:val="clear" w:color="auto" w:fill="FFFFFF"/>
        <w:spacing w:line="240" w:lineRule="auto"/>
        <w:ind w:firstLine="0"/>
        <w:contextualSpacing/>
        <w:mirrorIndents/>
        <w:rPr>
          <w:rFonts w:eastAsia="Times New Roman" w:cs="Times New Roman"/>
          <w:iCs/>
          <w:szCs w:val="24"/>
          <w:lang w:val="de-DE" w:eastAsia="pt-BR"/>
        </w:rPr>
      </w:pPr>
    </w:p>
    <w:p w14:paraId="0E57F655" w14:textId="27578656" w:rsidR="006077B4" w:rsidRDefault="00565B3A" w:rsidP="002E62AF">
      <w:pPr>
        <w:shd w:val="clear" w:color="auto" w:fill="FFFFFF"/>
        <w:spacing w:line="240" w:lineRule="auto"/>
        <w:ind w:firstLine="0"/>
        <w:contextualSpacing/>
        <w:mirrorIndents/>
        <w:rPr>
          <w:rFonts w:eastAsia="Times New Roman" w:cs="Times New Roman"/>
          <w:iCs/>
          <w:szCs w:val="24"/>
          <w:lang w:val="de-DE" w:eastAsia="pt-BR"/>
        </w:rPr>
      </w:pPr>
      <w:r w:rsidRPr="002E62AF">
        <w:rPr>
          <w:rFonts w:eastAsia="Times New Roman" w:cs="Times New Roman"/>
          <w:iCs/>
          <w:szCs w:val="24"/>
          <w:lang w:val="de-DE" w:eastAsia="pt-BR"/>
        </w:rPr>
        <w:t xml:space="preserve">BARCK, K. </w:t>
      </w:r>
      <w:r w:rsidRPr="002E62AF">
        <w:rPr>
          <w:rFonts w:eastAsia="Times New Roman" w:cs="Times New Roman"/>
          <w:i/>
          <w:szCs w:val="24"/>
          <w:lang w:val="de-DE" w:eastAsia="pt-BR"/>
        </w:rPr>
        <w:t xml:space="preserve">et al. </w:t>
      </w:r>
      <w:r w:rsidR="000C7735" w:rsidRPr="00565B3A">
        <w:rPr>
          <w:rFonts w:eastAsia="Times New Roman" w:cs="Times New Roman"/>
          <w:b/>
          <w:bCs/>
          <w:iCs/>
          <w:szCs w:val="24"/>
          <w:lang w:val="de-DE" w:eastAsia="pt-BR"/>
        </w:rPr>
        <w:t>Ästhetische Grundbegriffe</w:t>
      </w:r>
      <w:r w:rsidR="000C7735" w:rsidRPr="00ED76FC">
        <w:rPr>
          <w:rFonts w:eastAsia="Times New Roman" w:cs="Times New Roman"/>
          <w:iCs/>
          <w:szCs w:val="24"/>
          <w:lang w:val="de-DE" w:eastAsia="pt-BR"/>
        </w:rPr>
        <w:t xml:space="preserve">. </w:t>
      </w:r>
      <w:r w:rsidR="000C7735" w:rsidRPr="00A912D5">
        <w:rPr>
          <w:rFonts w:eastAsia="Times New Roman" w:cs="Times New Roman"/>
          <w:iCs/>
          <w:szCs w:val="24"/>
          <w:lang w:val="de-DE" w:eastAsia="pt-BR"/>
        </w:rPr>
        <w:t>Band VI.</w:t>
      </w:r>
      <w:r w:rsidR="000C7735" w:rsidRPr="00ED76FC">
        <w:rPr>
          <w:rFonts w:eastAsia="Times New Roman" w:cs="Times New Roman"/>
          <w:iCs/>
          <w:szCs w:val="24"/>
          <w:lang w:val="de-DE" w:eastAsia="pt-BR"/>
        </w:rPr>
        <w:t xml:space="preserve"> Stuttgart: J.B. Metzler, </w:t>
      </w:r>
      <w:r w:rsidR="00D14BAA" w:rsidRPr="00ED76FC">
        <w:rPr>
          <w:rFonts w:eastAsia="Times New Roman" w:cs="Times New Roman"/>
          <w:iCs/>
          <w:szCs w:val="24"/>
          <w:lang w:val="de-DE" w:eastAsia="pt-BR"/>
        </w:rPr>
        <w:t>2010b</w:t>
      </w:r>
      <w:r w:rsidR="000C7735" w:rsidRPr="00ED76FC">
        <w:rPr>
          <w:rFonts w:eastAsia="Times New Roman" w:cs="Times New Roman"/>
          <w:iCs/>
          <w:szCs w:val="24"/>
          <w:lang w:val="de-DE" w:eastAsia="pt-BR"/>
        </w:rPr>
        <w:t>.</w:t>
      </w:r>
    </w:p>
    <w:p w14:paraId="75984265" w14:textId="77777777" w:rsidR="006077B4" w:rsidRDefault="006077B4" w:rsidP="002E62AF">
      <w:pPr>
        <w:shd w:val="clear" w:color="auto" w:fill="FFFFFF"/>
        <w:spacing w:line="240" w:lineRule="auto"/>
        <w:ind w:firstLine="0"/>
        <w:contextualSpacing/>
        <w:mirrorIndents/>
        <w:rPr>
          <w:rFonts w:eastAsia="Times New Roman" w:cs="Times New Roman"/>
          <w:iCs/>
          <w:szCs w:val="24"/>
          <w:lang w:val="de-DE" w:eastAsia="pt-BR"/>
        </w:rPr>
      </w:pPr>
    </w:p>
    <w:p w14:paraId="79C11EA0" w14:textId="122C0582" w:rsidR="00362B38" w:rsidRDefault="00CB5573" w:rsidP="002E62AF">
      <w:pPr>
        <w:shd w:val="clear" w:color="auto" w:fill="FFFFFF"/>
        <w:spacing w:line="240" w:lineRule="auto"/>
        <w:ind w:firstLine="0"/>
        <w:contextualSpacing/>
        <w:mirrorIndents/>
        <w:rPr>
          <w:rFonts w:eastAsia="Times New Roman" w:cs="Times New Roman"/>
          <w:iCs/>
          <w:szCs w:val="24"/>
          <w:lang w:val="de-DE" w:eastAsia="pt-BR"/>
        </w:rPr>
      </w:pPr>
      <w:r w:rsidRPr="00ED76FC">
        <w:rPr>
          <w:rFonts w:eastAsia="Times New Roman" w:cs="Times New Roman"/>
          <w:iCs/>
          <w:szCs w:val="24"/>
          <w:lang w:val="de-DE" w:eastAsia="pt-BR"/>
        </w:rPr>
        <w:t>BENJAMIN</w:t>
      </w:r>
      <w:r w:rsidR="00680248" w:rsidRPr="00ED76FC">
        <w:rPr>
          <w:rFonts w:eastAsia="Times New Roman" w:cs="Times New Roman"/>
          <w:iCs/>
          <w:szCs w:val="24"/>
          <w:lang w:val="de-DE" w:eastAsia="pt-BR"/>
        </w:rPr>
        <w:t>, W.</w:t>
      </w:r>
      <w:r w:rsidR="00362B38" w:rsidRPr="00ED76FC">
        <w:rPr>
          <w:rFonts w:eastAsia="Times New Roman" w:cs="Times New Roman"/>
          <w:iCs/>
          <w:szCs w:val="24"/>
          <w:lang w:val="de-DE" w:eastAsia="pt-BR"/>
        </w:rPr>
        <w:t xml:space="preserve"> </w:t>
      </w:r>
      <w:r w:rsidR="00362B38" w:rsidRPr="00565B3A">
        <w:rPr>
          <w:rFonts w:eastAsia="Times New Roman" w:cs="Times New Roman"/>
          <w:b/>
          <w:bCs/>
          <w:iCs/>
          <w:szCs w:val="24"/>
          <w:lang w:val="de-DE" w:eastAsia="pt-BR"/>
        </w:rPr>
        <w:t>Briefe I</w:t>
      </w:r>
      <w:r w:rsidR="00362B38" w:rsidRPr="00ED76FC">
        <w:rPr>
          <w:rFonts w:eastAsia="Times New Roman" w:cs="Times New Roman"/>
          <w:iCs/>
          <w:szCs w:val="24"/>
          <w:lang w:val="de-DE" w:eastAsia="pt-BR"/>
        </w:rPr>
        <w:t xml:space="preserve">. </w:t>
      </w:r>
      <w:r w:rsidR="00A912D5" w:rsidRPr="00ED76FC">
        <w:rPr>
          <w:rFonts w:eastAsia="Times New Roman" w:cs="Times New Roman"/>
          <w:szCs w:val="24"/>
          <w:lang w:val="de-DE" w:eastAsia="pt-BR"/>
        </w:rPr>
        <w:t>Frankfurt (M): Suhrkamp</w:t>
      </w:r>
      <w:r w:rsidR="00362B38" w:rsidRPr="00ED76FC">
        <w:rPr>
          <w:rFonts w:eastAsia="Times New Roman" w:cs="Times New Roman"/>
          <w:iCs/>
          <w:szCs w:val="24"/>
          <w:lang w:val="de-DE" w:eastAsia="pt-BR"/>
        </w:rPr>
        <w:t>, 1978.</w:t>
      </w:r>
      <w:bookmarkStart w:id="13" w:name="_Hlk209705327"/>
    </w:p>
    <w:p w14:paraId="14502F49" w14:textId="77777777" w:rsidR="006077B4" w:rsidRPr="00ED76FC" w:rsidRDefault="006077B4" w:rsidP="002E62AF">
      <w:pPr>
        <w:shd w:val="clear" w:color="auto" w:fill="FFFFFF"/>
        <w:spacing w:line="240" w:lineRule="auto"/>
        <w:ind w:firstLine="0"/>
        <w:contextualSpacing/>
        <w:mirrorIndents/>
        <w:rPr>
          <w:rFonts w:eastAsia="Times New Roman" w:cs="Times New Roman"/>
          <w:iCs/>
          <w:szCs w:val="24"/>
          <w:lang w:val="de-DE" w:eastAsia="pt-BR"/>
        </w:rPr>
      </w:pPr>
    </w:p>
    <w:p w14:paraId="2B632988" w14:textId="6AD85B1A" w:rsidR="00680248" w:rsidRDefault="00565B3A" w:rsidP="002E62AF">
      <w:pPr>
        <w:spacing w:line="240" w:lineRule="auto"/>
        <w:ind w:firstLine="0"/>
        <w:contextualSpacing/>
        <w:mirrorIndents/>
        <w:rPr>
          <w:rFonts w:eastAsia="Times New Roman" w:cs="Times New Roman"/>
          <w:szCs w:val="24"/>
          <w:lang w:val="de-DE" w:eastAsia="pt-BR"/>
        </w:rPr>
      </w:pPr>
      <w:r w:rsidRPr="00ED76FC">
        <w:rPr>
          <w:rFonts w:eastAsia="Times New Roman" w:cs="Times New Roman"/>
          <w:iCs/>
          <w:szCs w:val="24"/>
          <w:lang w:val="de-DE" w:eastAsia="pt-BR"/>
        </w:rPr>
        <w:t>BENJAMIN, W.</w:t>
      </w:r>
      <w:r>
        <w:rPr>
          <w:rFonts w:eastAsia="Times New Roman" w:cs="Times New Roman"/>
          <w:iCs/>
          <w:szCs w:val="24"/>
          <w:lang w:val="de-DE" w:eastAsia="pt-BR"/>
        </w:rPr>
        <w:t xml:space="preserve"> </w:t>
      </w:r>
      <w:r w:rsidR="00680248" w:rsidRPr="00565B3A">
        <w:rPr>
          <w:rFonts w:eastAsia="Times New Roman" w:cs="Times New Roman"/>
          <w:b/>
          <w:bCs/>
          <w:iCs/>
          <w:szCs w:val="24"/>
          <w:lang w:val="de-DE" w:eastAsia="pt-BR"/>
        </w:rPr>
        <w:t>Gesammelte Schriften</w:t>
      </w:r>
      <w:r w:rsidR="00C9204F" w:rsidRPr="00565B3A">
        <w:rPr>
          <w:rFonts w:eastAsia="Times New Roman" w:cs="Times New Roman"/>
          <w:b/>
          <w:bCs/>
          <w:iCs/>
          <w:szCs w:val="24"/>
          <w:lang w:val="de-DE" w:eastAsia="pt-BR"/>
        </w:rPr>
        <w:t xml:space="preserve"> I</w:t>
      </w:r>
      <w:bookmarkEnd w:id="13"/>
      <w:r w:rsidR="00680248" w:rsidRPr="00565B3A">
        <w:rPr>
          <w:rFonts w:eastAsia="Times New Roman" w:cs="Times New Roman"/>
          <w:b/>
          <w:bCs/>
          <w:iCs/>
          <w:szCs w:val="24"/>
          <w:lang w:val="de-DE" w:eastAsia="pt-BR"/>
        </w:rPr>
        <w:t>.</w:t>
      </w:r>
      <w:r w:rsidR="00680248" w:rsidRPr="00ED76FC">
        <w:rPr>
          <w:rFonts w:eastAsia="Times New Roman" w:cs="Times New Roman"/>
          <w:szCs w:val="24"/>
          <w:lang w:val="de-DE" w:eastAsia="pt-BR"/>
        </w:rPr>
        <w:t xml:space="preserve"> Frankfurt (M): Suhrkamp, 1991</w:t>
      </w:r>
      <w:r w:rsidR="00C9204F" w:rsidRPr="00ED76FC">
        <w:rPr>
          <w:rFonts w:eastAsia="Times New Roman" w:cs="Times New Roman"/>
          <w:szCs w:val="24"/>
          <w:lang w:val="de-DE" w:eastAsia="pt-BR"/>
        </w:rPr>
        <w:t>a</w:t>
      </w:r>
      <w:r w:rsidR="00680248" w:rsidRPr="00ED76FC">
        <w:rPr>
          <w:rFonts w:eastAsia="Times New Roman" w:cs="Times New Roman"/>
          <w:szCs w:val="24"/>
          <w:lang w:val="de-DE" w:eastAsia="pt-BR"/>
        </w:rPr>
        <w:t>.</w:t>
      </w:r>
    </w:p>
    <w:p w14:paraId="41CAC0EF" w14:textId="77777777" w:rsidR="006077B4" w:rsidRPr="00ED76FC" w:rsidRDefault="006077B4" w:rsidP="002E62AF">
      <w:pPr>
        <w:spacing w:line="240" w:lineRule="auto"/>
        <w:ind w:firstLine="0"/>
        <w:contextualSpacing/>
        <w:mirrorIndents/>
        <w:rPr>
          <w:rFonts w:eastAsia="Times New Roman" w:cs="Times New Roman"/>
          <w:szCs w:val="24"/>
          <w:lang w:val="de-DE" w:eastAsia="pt-BR"/>
        </w:rPr>
      </w:pPr>
    </w:p>
    <w:p w14:paraId="077CCF42" w14:textId="4B0D12BE" w:rsidR="00C9204F" w:rsidRDefault="00565B3A" w:rsidP="002E62AF">
      <w:pPr>
        <w:spacing w:line="240" w:lineRule="auto"/>
        <w:ind w:firstLine="0"/>
        <w:contextualSpacing/>
        <w:mirrorIndents/>
        <w:rPr>
          <w:rFonts w:eastAsia="Times New Roman" w:cs="Times New Roman"/>
          <w:szCs w:val="24"/>
          <w:lang w:val="de-DE" w:eastAsia="pt-BR"/>
        </w:rPr>
      </w:pPr>
      <w:r w:rsidRPr="00ED76FC">
        <w:rPr>
          <w:rFonts w:eastAsia="Times New Roman" w:cs="Times New Roman"/>
          <w:iCs/>
          <w:szCs w:val="24"/>
          <w:lang w:val="de-DE" w:eastAsia="pt-BR"/>
        </w:rPr>
        <w:t>BENJAMIN, W.</w:t>
      </w:r>
      <w:r>
        <w:rPr>
          <w:rFonts w:eastAsia="Times New Roman" w:cs="Times New Roman"/>
          <w:iCs/>
          <w:szCs w:val="24"/>
          <w:lang w:val="de-DE" w:eastAsia="pt-BR"/>
        </w:rPr>
        <w:t xml:space="preserve"> </w:t>
      </w:r>
      <w:r w:rsidR="00C9204F" w:rsidRPr="00565B3A">
        <w:rPr>
          <w:rFonts w:eastAsia="Times New Roman" w:cs="Times New Roman"/>
          <w:b/>
          <w:bCs/>
          <w:iCs/>
          <w:szCs w:val="24"/>
          <w:lang w:val="de-DE" w:eastAsia="pt-BR"/>
        </w:rPr>
        <w:t>Gesammelte Schriften II.</w:t>
      </w:r>
      <w:r w:rsidR="00C9204F" w:rsidRPr="00ED76FC">
        <w:rPr>
          <w:rFonts w:eastAsia="Times New Roman" w:cs="Times New Roman"/>
          <w:i/>
          <w:szCs w:val="24"/>
          <w:lang w:val="de-DE" w:eastAsia="pt-BR"/>
        </w:rPr>
        <w:t xml:space="preserve"> </w:t>
      </w:r>
      <w:r w:rsidR="00C9204F" w:rsidRPr="00ED76FC">
        <w:rPr>
          <w:rFonts w:eastAsia="Times New Roman" w:cs="Times New Roman"/>
          <w:szCs w:val="24"/>
          <w:lang w:val="de-DE" w:eastAsia="pt-BR"/>
        </w:rPr>
        <w:t>Frankfurt (M): Suhrkamp, 1991b.</w:t>
      </w:r>
    </w:p>
    <w:p w14:paraId="4E44E9C4" w14:textId="77777777" w:rsidR="006077B4" w:rsidRPr="00ED76FC" w:rsidRDefault="006077B4" w:rsidP="002E62AF">
      <w:pPr>
        <w:spacing w:line="240" w:lineRule="auto"/>
        <w:ind w:firstLine="0"/>
        <w:contextualSpacing/>
        <w:mirrorIndents/>
        <w:rPr>
          <w:rFonts w:eastAsia="Times New Roman" w:cs="Times New Roman"/>
          <w:szCs w:val="24"/>
          <w:lang w:val="de-DE" w:eastAsia="pt-BR"/>
        </w:rPr>
      </w:pPr>
    </w:p>
    <w:p w14:paraId="4DDD5EB1" w14:textId="4B0C8F23" w:rsidR="00BE2A63" w:rsidRDefault="00565B3A" w:rsidP="002E62AF">
      <w:pPr>
        <w:spacing w:line="240" w:lineRule="auto"/>
        <w:ind w:firstLine="0"/>
        <w:contextualSpacing/>
        <w:mirrorIndents/>
        <w:rPr>
          <w:rFonts w:eastAsia="Times New Roman" w:cs="Times New Roman"/>
          <w:szCs w:val="24"/>
          <w:lang w:val="de-DE" w:eastAsia="pt-BR"/>
        </w:rPr>
      </w:pPr>
      <w:r w:rsidRPr="00ED76FC">
        <w:rPr>
          <w:rFonts w:eastAsia="Times New Roman" w:cs="Times New Roman"/>
          <w:iCs/>
          <w:szCs w:val="24"/>
          <w:lang w:val="de-DE" w:eastAsia="pt-BR"/>
        </w:rPr>
        <w:t>BENJAMIN, W.</w:t>
      </w:r>
      <w:r>
        <w:rPr>
          <w:rFonts w:eastAsia="Times New Roman" w:cs="Times New Roman"/>
          <w:iCs/>
          <w:szCs w:val="24"/>
          <w:lang w:val="de-DE" w:eastAsia="pt-BR"/>
        </w:rPr>
        <w:t xml:space="preserve"> </w:t>
      </w:r>
      <w:r w:rsidR="00BE2A63" w:rsidRPr="00565B3A">
        <w:rPr>
          <w:rFonts w:eastAsia="Times New Roman" w:cs="Times New Roman"/>
          <w:b/>
          <w:bCs/>
          <w:iCs/>
          <w:szCs w:val="24"/>
          <w:lang w:val="de-DE" w:eastAsia="pt-BR"/>
        </w:rPr>
        <w:t>Gesammelte Schriften III</w:t>
      </w:r>
      <w:r w:rsidR="00BE2A63" w:rsidRPr="00ED76FC">
        <w:rPr>
          <w:rFonts w:eastAsia="Times New Roman" w:cs="Times New Roman"/>
          <w:i/>
          <w:szCs w:val="24"/>
          <w:lang w:val="de-DE" w:eastAsia="pt-BR"/>
        </w:rPr>
        <w:t xml:space="preserve">. </w:t>
      </w:r>
      <w:r w:rsidR="00BE2A63" w:rsidRPr="00ED76FC">
        <w:rPr>
          <w:rFonts w:eastAsia="Times New Roman" w:cs="Times New Roman"/>
          <w:szCs w:val="24"/>
          <w:lang w:val="de-DE" w:eastAsia="pt-BR"/>
        </w:rPr>
        <w:t>Frankfurt (M): Suhrkamp, 1991c.</w:t>
      </w:r>
    </w:p>
    <w:p w14:paraId="6C7075D5" w14:textId="77777777" w:rsidR="006077B4" w:rsidRPr="00ED76FC" w:rsidRDefault="006077B4" w:rsidP="002E62AF">
      <w:pPr>
        <w:spacing w:line="240" w:lineRule="auto"/>
        <w:ind w:firstLine="0"/>
        <w:contextualSpacing/>
        <w:mirrorIndents/>
        <w:rPr>
          <w:rFonts w:eastAsia="Times New Roman" w:cs="Times New Roman"/>
          <w:szCs w:val="24"/>
          <w:lang w:val="de-DE" w:eastAsia="pt-BR"/>
        </w:rPr>
      </w:pPr>
    </w:p>
    <w:p w14:paraId="03453C9E" w14:textId="5E0F1713" w:rsidR="008526C3" w:rsidRDefault="00565B3A" w:rsidP="002E62AF">
      <w:pPr>
        <w:spacing w:line="240" w:lineRule="auto"/>
        <w:ind w:firstLine="0"/>
        <w:contextualSpacing/>
        <w:mirrorIndents/>
        <w:rPr>
          <w:rFonts w:eastAsia="Times New Roman" w:cs="Times New Roman"/>
          <w:szCs w:val="24"/>
          <w:lang w:val="de-DE" w:eastAsia="pt-BR"/>
        </w:rPr>
      </w:pPr>
      <w:r w:rsidRPr="00ED76FC">
        <w:rPr>
          <w:rFonts w:eastAsia="Times New Roman" w:cs="Times New Roman"/>
          <w:iCs/>
          <w:szCs w:val="24"/>
          <w:lang w:val="de-DE" w:eastAsia="pt-BR"/>
        </w:rPr>
        <w:t>BENJAMIN, W.</w:t>
      </w:r>
      <w:r>
        <w:rPr>
          <w:rFonts w:eastAsia="Times New Roman" w:cs="Times New Roman"/>
          <w:iCs/>
          <w:szCs w:val="24"/>
          <w:lang w:val="de-DE" w:eastAsia="pt-BR"/>
        </w:rPr>
        <w:t xml:space="preserve"> </w:t>
      </w:r>
      <w:r w:rsidR="008526C3" w:rsidRPr="00565B3A">
        <w:rPr>
          <w:rFonts w:eastAsia="Times New Roman" w:cs="Times New Roman"/>
          <w:b/>
          <w:bCs/>
          <w:iCs/>
          <w:szCs w:val="24"/>
          <w:lang w:val="de-DE" w:eastAsia="pt-BR"/>
        </w:rPr>
        <w:t>Gesammelte Schriften IV</w:t>
      </w:r>
      <w:r w:rsidR="008526C3" w:rsidRPr="00565B3A">
        <w:rPr>
          <w:rFonts w:eastAsia="Times New Roman" w:cs="Times New Roman"/>
          <w:iCs/>
          <w:szCs w:val="24"/>
          <w:lang w:val="de-DE" w:eastAsia="pt-BR"/>
        </w:rPr>
        <w:t>.</w:t>
      </w:r>
      <w:r w:rsidR="008526C3" w:rsidRPr="00ED76FC">
        <w:rPr>
          <w:rFonts w:eastAsia="Times New Roman" w:cs="Times New Roman"/>
          <w:i/>
          <w:szCs w:val="24"/>
          <w:lang w:val="de-DE" w:eastAsia="pt-BR"/>
        </w:rPr>
        <w:t xml:space="preserve"> </w:t>
      </w:r>
      <w:r w:rsidR="008526C3" w:rsidRPr="00ED76FC">
        <w:rPr>
          <w:rFonts w:eastAsia="Times New Roman" w:cs="Times New Roman"/>
          <w:szCs w:val="24"/>
          <w:lang w:val="de-DE" w:eastAsia="pt-BR"/>
        </w:rPr>
        <w:t>Frankfurt (M): Suhrkamp, 1991d.</w:t>
      </w:r>
    </w:p>
    <w:p w14:paraId="1A73A858" w14:textId="77777777" w:rsidR="006077B4" w:rsidRPr="00ED76FC" w:rsidRDefault="006077B4" w:rsidP="002E62AF">
      <w:pPr>
        <w:spacing w:line="240" w:lineRule="auto"/>
        <w:ind w:firstLine="0"/>
        <w:contextualSpacing/>
        <w:mirrorIndents/>
        <w:rPr>
          <w:rFonts w:eastAsia="Times New Roman" w:cs="Times New Roman"/>
          <w:szCs w:val="24"/>
          <w:lang w:val="de-DE" w:eastAsia="pt-BR"/>
        </w:rPr>
      </w:pPr>
    </w:p>
    <w:p w14:paraId="5AE31786" w14:textId="6C97E086" w:rsidR="004B29EB" w:rsidRDefault="00565B3A" w:rsidP="002E62AF">
      <w:pPr>
        <w:spacing w:line="240" w:lineRule="auto"/>
        <w:ind w:firstLine="0"/>
        <w:contextualSpacing/>
        <w:mirrorIndents/>
        <w:rPr>
          <w:rFonts w:eastAsia="Times New Roman" w:cs="Times New Roman"/>
          <w:szCs w:val="24"/>
          <w:lang w:val="de-DE" w:eastAsia="pt-BR"/>
        </w:rPr>
      </w:pPr>
      <w:r w:rsidRPr="00ED76FC">
        <w:rPr>
          <w:rFonts w:eastAsia="Times New Roman" w:cs="Times New Roman"/>
          <w:iCs/>
          <w:szCs w:val="24"/>
          <w:lang w:val="de-DE" w:eastAsia="pt-BR"/>
        </w:rPr>
        <w:t>BENJAMIN, W.</w:t>
      </w:r>
      <w:r>
        <w:rPr>
          <w:rFonts w:eastAsia="Times New Roman" w:cs="Times New Roman"/>
          <w:iCs/>
          <w:szCs w:val="24"/>
          <w:lang w:val="de-DE" w:eastAsia="pt-BR"/>
        </w:rPr>
        <w:t xml:space="preserve"> </w:t>
      </w:r>
      <w:r w:rsidR="004B29EB" w:rsidRPr="00565B3A">
        <w:rPr>
          <w:rFonts w:eastAsia="Times New Roman" w:cs="Times New Roman"/>
          <w:b/>
          <w:bCs/>
          <w:szCs w:val="24"/>
          <w:lang w:val="de-DE" w:eastAsia="pt-BR"/>
        </w:rPr>
        <w:t>Werke und Nachlass</w:t>
      </w:r>
      <w:r w:rsidR="004B29EB" w:rsidRPr="00565B3A">
        <w:rPr>
          <w:rFonts w:eastAsia="Times New Roman" w:cs="Times New Roman"/>
          <w:szCs w:val="24"/>
          <w:lang w:val="de-DE" w:eastAsia="pt-BR"/>
        </w:rPr>
        <w:t>.</w:t>
      </w:r>
      <w:r w:rsidR="004B29EB" w:rsidRPr="00565B3A">
        <w:rPr>
          <w:rFonts w:eastAsia="Times New Roman" w:cs="Times New Roman"/>
          <w:b/>
          <w:bCs/>
          <w:szCs w:val="24"/>
          <w:lang w:val="de-DE" w:eastAsia="pt-BR"/>
        </w:rPr>
        <w:t xml:space="preserve"> </w:t>
      </w:r>
      <w:r w:rsidR="004B29EB" w:rsidRPr="00565B3A">
        <w:rPr>
          <w:rFonts w:eastAsia="Times New Roman" w:cs="Times New Roman"/>
          <w:szCs w:val="24"/>
          <w:lang w:val="de-DE" w:eastAsia="pt-BR"/>
        </w:rPr>
        <w:t xml:space="preserve">Kritische Gesamtausgabe. Band 19: Über den Begriff der Geschichte. </w:t>
      </w:r>
      <w:r w:rsidR="004B29EB" w:rsidRPr="00ED76FC">
        <w:rPr>
          <w:rFonts w:eastAsia="Times New Roman" w:cs="Times New Roman"/>
          <w:szCs w:val="24"/>
          <w:lang w:val="de-DE" w:eastAsia="pt-BR"/>
        </w:rPr>
        <w:t>Berlin: Suhrkamp, 2010.</w:t>
      </w:r>
    </w:p>
    <w:p w14:paraId="4E2A8243" w14:textId="77777777" w:rsidR="006077B4" w:rsidRPr="00ED76FC" w:rsidRDefault="006077B4" w:rsidP="002E62AF">
      <w:pPr>
        <w:spacing w:line="240" w:lineRule="auto"/>
        <w:ind w:firstLine="0"/>
        <w:contextualSpacing/>
        <w:mirrorIndents/>
        <w:rPr>
          <w:rFonts w:eastAsia="Times New Roman" w:cs="Times New Roman"/>
          <w:szCs w:val="24"/>
          <w:lang w:val="de-DE" w:eastAsia="pt-BR"/>
        </w:rPr>
      </w:pPr>
    </w:p>
    <w:p w14:paraId="2A69A20B" w14:textId="52581D74" w:rsidR="00550ECC" w:rsidRDefault="00CB5573" w:rsidP="002E62AF">
      <w:pPr>
        <w:spacing w:line="240" w:lineRule="auto"/>
        <w:ind w:firstLine="0"/>
        <w:contextualSpacing/>
        <w:mirrorIndents/>
        <w:rPr>
          <w:rFonts w:cs="Times New Roman"/>
          <w:szCs w:val="24"/>
          <w:shd w:val="clear" w:color="auto" w:fill="FFFFFF"/>
          <w:lang w:val="de-DE"/>
        </w:rPr>
      </w:pPr>
      <w:r w:rsidRPr="00ED76FC">
        <w:rPr>
          <w:rFonts w:cs="Times New Roman"/>
          <w:szCs w:val="24"/>
          <w:shd w:val="clear" w:color="auto" w:fill="FFFFFF"/>
          <w:lang w:val="de-DE"/>
        </w:rPr>
        <w:t>BRECHT</w:t>
      </w:r>
      <w:r w:rsidR="00680248" w:rsidRPr="00ED76FC">
        <w:rPr>
          <w:rFonts w:cs="Times New Roman"/>
          <w:szCs w:val="24"/>
          <w:shd w:val="clear" w:color="auto" w:fill="FFFFFF"/>
          <w:lang w:val="de-DE"/>
        </w:rPr>
        <w:t xml:space="preserve">, B. </w:t>
      </w:r>
      <w:r w:rsidR="007D3B27" w:rsidRPr="00A912D5">
        <w:rPr>
          <w:rFonts w:cs="Times New Roman"/>
          <w:b/>
          <w:bCs/>
          <w:szCs w:val="24"/>
          <w:shd w:val="clear" w:color="auto" w:fill="FFFFFF"/>
          <w:lang w:val="de-DE"/>
        </w:rPr>
        <w:t>Gesammelte Werke</w:t>
      </w:r>
      <w:r w:rsidR="007D3B27" w:rsidRPr="00A912D5">
        <w:rPr>
          <w:rFonts w:cs="Times New Roman"/>
          <w:szCs w:val="24"/>
          <w:shd w:val="clear" w:color="auto" w:fill="FFFFFF"/>
          <w:lang w:val="de-DE"/>
        </w:rPr>
        <w:t>. Band 15</w:t>
      </w:r>
      <w:r w:rsidR="007D3B27" w:rsidRPr="00ED76FC">
        <w:rPr>
          <w:rFonts w:cs="Times New Roman"/>
          <w:szCs w:val="24"/>
          <w:shd w:val="clear" w:color="auto" w:fill="FFFFFF"/>
          <w:lang w:val="de-DE"/>
        </w:rPr>
        <w:t>. Frankfurt (M): Suhrkamp, 1967.</w:t>
      </w:r>
    </w:p>
    <w:p w14:paraId="18ECACFF" w14:textId="77777777" w:rsidR="006077B4" w:rsidRPr="00ED76FC" w:rsidRDefault="006077B4" w:rsidP="002E62AF">
      <w:pPr>
        <w:spacing w:line="240" w:lineRule="auto"/>
        <w:ind w:firstLine="0"/>
        <w:contextualSpacing/>
        <w:mirrorIndents/>
        <w:rPr>
          <w:rFonts w:cs="Times New Roman"/>
          <w:szCs w:val="24"/>
          <w:shd w:val="clear" w:color="auto" w:fill="FFFFFF"/>
          <w:lang w:val="de-DE"/>
        </w:rPr>
      </w:pPr>
    </w:p>
    <w:p w14:paraId="47CFEEEB" w14:textId="7860D190" w:rsidR="00680248" w:rsidRDefault="00565B3A" w:rsidP="002E62AF">
      <w:pPr>
        <w:spacing w:line="240" w:lineRule="auto"/>
        <w:ind w:firstLine="0"/>
        <w:contextualSpacing/>
        <w:mirrorIndents/>
        <w:rPr>
          <w:rFonts w:cs="Times New Roman"/>
          <w:szCs w:val="24"/>
          <w:shd w:val="clear" w:color="auto" w:fill="FFFFFF"/>
          <w:lang w:val="de-DE"/>
        </w:rPr>
      </w:pPr>
      <w:r w:rsidRPr="00ED76FC">
        <w:rPr>
          <w:rFonts w:cs="Times New Roman"/>
          <w:szCs w:val="24"/>
          <w:shd w:val="clear" w:color="auto" w:fill="FFFFFF"/>
          <w:lang w:val="de-DE"/>
        </w:rPr>
        <w:t>BRECHT, B.</w:t>
      </w:r>
      <w:r>
        <w:rPr>
          <w:rFonts w:cs="Times New Roman"/>
          <w:szCs w:val="24"/>
          <w:shd w:val="clear" w:color="auto" w:fill="FFFFFF"/>
          <w:lang w:val="de-DE"/>
        </w:rPr>
        <w:t xml:space="preserve"> </w:t>
      </w:r>
      <w:r w:rsidR="00680248" w:rsidRPr="00565B3A">
        <w:rPr>
          <w:rFonts w:cs="Times New Roman"/>
          <w:b/>
          <w:bCs/>
          <w:szCs w:val="24"/>
          <w:shd w:val="clear" w:color="auto" w:fill="FFFFFF"/>
          <w:lang w:val="de-DE"/>
        </w:rPr>
        <w:t>Werke</w:t>
      </w:r>
      <w:r w:rsidR="00680248" w:rsidRPr="00565B3A">
        <w:rPr>
          <w:rFonts w:cs="Times New Roman"/>
          <w:szCs w:val="24"/>
          <w:shd w:val="clear" w:color="auto" w:fill="FFFFFF"/>
          <w:lang w:val="de-DE"/>
        </w:rPr>
        <w:t>. Große kommentierte Berliner und Frankfurter Ausgabe. Schriften 4. Band 24</w:t>
      </w:r>
      <w:r w:rsidR="00680248" w:rsidRPr="00ED76FC">
        <w:rPr>
          <w:rFonts w:cs="Times New Roman"/>
          <w:szCs w:val="24"/>
          <w:shd w:val="clear" w:color="auto" w:fill="FFFFFF"/>
          <w:lang w:val="de-DE"/>
        </w:rPr>
        <w:t xml:space="preserve">. </w:t>
      </w:r>
      <w:r w:rsidR="00A912D5" w:rsidRPr="00ED76FC">
        <w:rPr>
          <w:rFonts w:cs="Times New Roman"/>
          <w:szCs w:val="24"/>
          <w:shd w:val="clear" w:color="auto" w:fill="FFFFFF"/>
          <w:lang w:val="de-DE"/>
        </w:rPr>
        <w:t>Frankfurt (M): Suhrkamp</w:t>
      </w:r>
      <w:r w:rsidR="00680248" w:rsidRPr="00ED76FC">
        <w:rPr>
          <w:rFonts w:cs="Times New Roman"/>
          <w:szCs w:val="24"/>
          <w:shd w:val="clear" w:color="auto" w:fill="FFFFFF"/>
          <w:lang w:val="de-DE"/>
        </w:rPr>
        <w:t>, 1991.</w:t>
      </w:r>
    </w:p>
    <w:p w14:paraId="66299129" w14:textId="77777777" w:rsidR="006077B4" w:rsidRPr="00ED76FC" w:rsidRDefault="006077B4" w:rsidP="002E62AF">
      <w:pPr>
        <w:spacing w:line="240" w:lineRule="auto"/>
        <w:ind w:firstLine="0"/>
        <w:contextualSpacing/>
        <w:mirrorIndents/>
        <w:rPr>
          <w:rFonts w:cs="Times New Roman"/>
          <w:szCs w:val="24"/>
          <w:shd w:val="clear" w:color="auto" w:fill="FFFFFF"/>
          <w:lang w:val="de-DE"/>
        </w:rPr>
      </w:pPr>
    </w:p>
    <w:p w14:paraId="6D055D61" w14:textId="4B310FB7" w:rsidR="00A36086" w:rsidRDefault="00CB5573" w:rsidP="002E62AF">
      <w:pPr>
        <w:spacing w:line="240" w:lineRule="auto"/>
        <w:ind w:firstLine="0"/>
        <w:contextualSpacing/>
        <w:mirrorIndents/>
        <w:rPr>
          <w:rFonts w:cs="Times New Roman"/>
          <w:szCs w:val="24"/>
          <w:shd w:val="clear" w:color="auto" w:fill="FFFFFF"/>
          <w:lang w:val="de-DE"/>
        </w:rPr>
      </w:pPr>
      <w:r w:rsidRPr="00ED76FC">
        <w:rPr>
          <w:rFonts w:cs="Times New Roman"/>
          <w:szCs w:val="24"/>
          <w:shd w:val="clear" w:color="auto" w:fill="FFFFFF"/>
          <w:lang w:val="de-DE"/>
        </w:rPr>
        <w:t>BUEHLER</w:t>
      </w:r>
      <w:r w:rsidR="00A36086" w:rsidRPr="00ED76FC">
        <w:rPr>
          <w:rFonts w:cs="Times New Roman"/>
          <w:szCs w:val="24"/>
          <w:shd w:val="clear" w:color="auto" w:fill="FFFFFF"/>
          <w:lang w:val="de-DE"/>
        </w:rPr>
        <w:t xml:space="preserve">, G. </w:t>
      </w:r>
      <w:r w:rsidR="00A36086" w:rsidRPr="00565B3A">
        <w:rPr>
          <w:rFonts w:cs="Times New Roman"/>
          <w:b/>
          <w:bCs/>
          <w:szCs w:val="24"/>
          <w:shd w:val="clear" w:color="auto" w:fill="FFFFFF"/>
          <w:lang w:val="de-DE"/>
        </w:rPr>
        <w:t>Bertolt Brecht – Erwin Piscator</w:t>
      </w:r>
      <w:r w:rsidR="00A36086" w:rsidRPr="00565B3A">
        <w:rPr>
          <w:rFonts w:cs="Times New Roman"/>
          <w:szCs w:val="24"/>
          <w:shd w:val="clear" w:color="auto" w:fill="FFFFFF"/>
          <w:lang w:val="de-DE"/>
        </w:rPr>
        <w:t>. Ein Vergleich ihrer theoretischen Schriften</w:t>
      </w:r>
      <w:r w:rsidR="00A36086" w:rsidRPr="00ED76FC">
        <w:rPr>
          <w:rFonts w:cs="Times New Roman"/>
          <w:szCs w:val="24"/>
          <w:shd w:val="clear" w:color="auto" w:fill="FFFFFF"/>
          <w:lang w:val="de-DE"/>
        </w:rPr>
        <w:t xml:space="preserve">. </w:t>
      </w:r>
      <w:r w:rsidR="00B536BF" w:rsidRPr="00ED76FC">
        <w:rPr>
          <w:rFonts w:cs="Times New Roman"/>
          <w:szCs w:val="24"/>
          <w:shd w:val="clear" w:color="auto" w:fill="FFFFFF"/>
          <w:lang w:val="de-DE"/>
        </w:rPr>
        <w:t>Bonn: Bouvier, 1978.</w:t>
      </w:r>
    </w:p>
    <w:p w14:paraId="5C9AAD1E" w14:textId="77777777" w:rsidR="006077B4" w:rsidRPr="00ED76FC" w:rsidRDefault="006077B4" w:rsidP="002E62AF">
      <w:pPr>
        <w:spacing w:line="240" w:lineRule="auto"/>
        <w:ind w:firstLine="0"/>
        <w:contextualSpacing/>
        <w:mirrorIndents/>
        <w:rPr>
          <w:rFonts w:cs="Times New Roman"/>
          <w:szCs w:val="24"/>
          <w:shd w:val="clear" w:color="auto" w:fill="FFFFFF"/>
          <w:lang w:val="de-DE"/>
        </w:rPr>
      </w:pPr>
    </w:p>
    <w:p w14:paraId="3BFDEF4C" w14:textId="663A8A83" w:rsidR="00773AE5" w:rsidRDefault="00CB5573" w:rsidP="002E62AF">
      <w:pPr>
        <w:spacing w:line="240" w:lineRule="auto"/>
        <w:ind w:firstLine="0"/>
        <w:contextualSpacing/>
        <w:mirrorIndents/>
        <w:rPr>
          <w:rFonts w:cs="Times New Roman"/>
          <w:szCs w:val="24"/>
          <w:shd w:val="clear" w:color="auto" w:fill="FFFFFF"/>
        </w:rPr>
      </w:pPr>
      <w:r w:rsidRPr="00ED76FC">
        <w:rPr>
          <w:rFonts w:cs="Times New Roman"/>
          <w:szCs w:val="24"/>
          <w:shd w:val="clear" w:color="auto" w:fill="FFFFFF"/>
          <w:lang w:val="de-DE"/>
        </w:rPr>
        <w:t>DILTHEY</w:t>
      </w:r>
      <w:r w:rsidR="00773AE5" w:rsidRPr="00ED76FC">
        <w:rPr>
          <w:rFonts w:cs="Times New Roman"/>
          <w:szCs w:val="24"/>
          <w:shd w:val="clear" w:color="auto" w:fill="FFFFFF"/>
          <w:lang w:val="de-DE"/>
        </w:rPr>
        <w:t xml:space="preserve">, W. </w:t>
      </w:r>
      <w:r w:rsidR="009D6359" w:rsidRPr="00AA7198">
        <w:rPr>
          <w:rFonts w:cs="Times New Roman"/>
          <w:b/>
          <w:bCs/>
          <w:szCs w:val="24"/>
          <w:shd w:val="clear" w:color="auto" w:fill="FFFFFF"/>
          <w:lang w:val="de-DE"/>
        </w:rPr>
        <w:t>Gesammelte Schriften</w:t>
      </w:r>
      <w:r w:rsidR="009D6359" w:rsidRPr="00565B3A">
        <w:rPr>
          <w:rFonts w:cs="Times New Roman"/>
          <w:szCs w:val="24"/>
          <w:shd w:val="clear" w:color="auto" w:fill="FFFFFF"/>
          <w:lang w:val="de-DE"/>
        </w:rPr>
        <w:t>. Band VII</w:t>
      </w:r>
      <w:r w:rsidR="009D6359" w:rsidRPr="00ED76FC">
        <w:rPr>
          <w:rFonts w:cs="Times New Roman"/>
          <w:i/>
          <w:iCs/>
          <w:szCs w:val="24"/>
          <w:shd w:val="clear" w:color="auto" w:fill="FFFFFF"/>
          <w:lang w:val="de-DE"/>
        </w:rPr>
        <w:t xml:space="preserve">. </w:t>
      </w:r>
      <w:r w:rsidR="009D6359" w:rsidRPr="00A912D5">
        <w:rPr>
          <w:rFonts w:cs="Times New Roman"/>
          <w:szCs w:val="24"/>
          <w:shd w:val="clear" w:color="auto" w:fill="FFFFFF"/>
          <w:lang w:val="de-DE"/>
        </w:rPr>
        <w:t>Der Aufbau der geschichtlichen Welt in den Geisteswissenschaften.</w:t>
      </w:r>
      <w:r w:rsidR="009D6359" w:rsidRPr="00ED76FC">
        <w:rPr>
          <w:rFonts w:cs="Times New Roman"/>
          <w:szCs w:val="24"/>
          <w:shd w:val="clear" w:color="auto" w:fill="FFFFFF"/>
          <w:lang w:val="de-DE"/>
        </w:rPr>
        <w:t xml:space="preserve"> </w:t>
      </w:r>
      <w:r w:rsidR="009D6359" w:rsidRPr="009C258B">
        <w:rPr>
          <w:rFonts w:cs="Times New Roman"/>
          <w:szCs w:val="24"/>
          <w:shd w:val="clear" w:color="auto" w:fill="FFFFFF"/>
        </w:rPr>
        <w:t xml:space="preserve">Stuttgart: </w:t>
      </w:r>
      <w:proofErr w:type="spellStart"/>
      <w:r w:rsidR="009D6359" w:rsidRPr="009C258B">
        <w:rPr>
          <w:rFonts w:cs="Times New Roman"/>
          <w:szCs w:val="24"/>
          <w:shd w:val="clear" w:color="auto" w:fill="FFFFFF"/>
        </w:rPr>
        <w:t>Teubner</w:t>
      </w:r>
      <w:proofErr w:type="spellEnd"/>
      <w:r w:rsidR="009D6359" w:rsidRPr="009C258B">
        <w:rPr>
          <w:rFonts w:cs="Times New Roman"/>
          <w:szCs w:val="24"/>
          <w:shd w:val="clear" w:color="auto" w:fill="FFFFFF"/>
        </w:rPr>
        <w:t>, 1965.</w:t>
      </w:r>
    </w:p>
    <w:p w14:paraId="7F15614B" w14:textId="77777777" w:rsidR="006077B4" w:rsidRPr="009C258B" w:rsidRDefault="006077B4" w:rsidP="002E62AF">
      <w:pPr>
        <w:spacing w:line="240" w:lineRule="auto"/>
        <w:ind w:firstLine="0"/>
        <w:contextualSpacing/>
        <w:mirrorIndents/>
        <w:rPr>
          <w:rFonts w:cs="Times New Roman"/>
          <w:szCs w:val="24"/>
          <w:shd w:val="clear" w:color="auto" w:fill="FFFFFF"/>
        </w:rPr>
      </w:pPr>
    </w:p>
    <w:p w14:paraId="7063920A" w14:textId="48CE3808" w:rsidR="00963A1D" w:rsidRDefault="00CB5573" w:rsidP="002E62AF">
      <w:pPr>
        <w:spacing w:line="240" w:lineRule="auto"/>
        <w:ind w:firstLine="0"/>
        <w:contextualSpacing/>
        <w:mirrorIndents/>
        <w:rPr>
          <w:rFonts w:cs="Times New Roman"/>
          <w:szCs w:val="24"/>
          <w:shd w:val="clear" w:color="auto" w:fill="FFFFFF"/>
        </w:rPr>
      </w:pPr>
      <w:r w:rsidRPr="009C258B">
        <w:rPr>
          <w:rFonts w:cs="Times New Roman"/>
          <w:szCs w:val="24"/>
          <w:shd w:val="clear" w:color="auto" w:fill="FFFFFF"/>
        </w:rPr>
        <w:t>FREITAS</w:t>
      </w:r>
      <w:r w:rsidR="00093BC9" w:rsidRPr="009C258B">
        <w:rPr>
          <w:rFonts w:cs="Times New Roman"/>
          <w:szCs w:val="24"/>
          <w:shd w:val="clear" w:color="auto" w:fill="FFFFFF"/>
        </w:rPr>
        <w:t xml:space="preserve">, </w:t>
      </w:r>
      <w:r w:rsidR="004B0E2D" w:rsidRPr="009C258B">
        <w:rPr>
          <w:rFonts w:cs="Times New Roman"/>
          <w:szCs w:val="24"/>
          <w:shd w:val="clear" w:color="auto" w:fill="FFFFFF"/>
        </w:rPr>
        <w:t xml:space="preserve">R. </w:t>
      </w:r>
      <w:r w:rsidR="00853E00" w:rsidRPr="009C258B">
        <w:rPr>
          <w:rFonts w:cs="Times New Roman"/>
          <w:szCs w:val="24"/>
          <w:shd w:val="clear" w:color="auto" w:fill="FFFFFF"/>
        </w:rPr>
        <w:t>Estranhamento ou empatia</w:t>
      </w:r>
      <w:r w:rsidR="00C24804" w:rsidRPr="009C258B">
        <w:rPr>
          <w:rFonts w:cs="Times New Roman"/>
          <w:szCs w:val="24"/>
          <w:shd w:val="clear" w:color="auto" w:fill="FFFFFF"/>
        </w:rPr>
        <w:t xml:space="preserve">? Notas sobre o problema do conhecimento histórico em Walter Benjamin. </w:t>
      </w:r>
      <w:proofErr w:type="spellStart"/>
      <w:r w:rsidR="00C24804" w:rsidRPr="00A912D5">
        <w:rPr>
          <w:rFonts w:cs="Times New Roman"/>
          <w:b/>
          <w:bCs/>
          <w:szCs w:val="24"/>
          <w:shd w:val="clear" w:color="auto" w:fill="FFFFFF"/>
        </w:rPr>
        <w:t>ArteFilosofia</w:t>
      </w:r>
      <w:proofErr w:type="spellEnd"/>
      <w:r w:rsidR="00C24804" w:rsidRPr="009C258B">
        <w:rPr>
          <w:rFonts w:cs="Times New Roman"/>
          <w:szCs w:val="24"/>
          <w:shd w:val="clear" w:color="auto" w:fill="FFFFFF"/>
        </w:rPr>
        <w:t>, n. 1</w:t>
      </w:r>
      <w:r w:rsidR="00A912D5">
        <w:rPr>
          <w:rFonts w:cs="Times New Roman"/>
          <w:szCs w:val="24"/>
          <w:shd w:val="clear" w:color="auto" w:fill="FFFFFF"/>
        </w:rPr>
        <w:t>, v. 1</w:t>
      </w:r>
      <w:r w:rsidR="00C24804" w:rsidRPr="009C258B">
        <w:rPr>
          <w:rFonts w:cs="Times New Roman"/>
          <w:szCs w:val="24"/>
          <w:shd w:val="clear" w:color="auto" w:fill="FFFFFF"/>
        </w:rPr>
        <w:t xml:space="preserve">, </w:t>
      </w:r>
      <w:r w:rsidR="00A912D5">
        <w:rPr>
          <w:rFonts w:cs="Times New Roman"/>
          <w:szCs w:val="24"/>
          <w:shd w:val="clear" w:color="auto" w:fill="FFFFFF"/>
        </w:rPr>
        <w:t xml:space="preserve">p. 94-102, </w:t>
      </w:r>
      <w:r w:rsidR="00C24804" w:rsidRPr="009C258B">
        <w:rPr>
          <w:rFonts w:cs="Times New Roman"/>
          <w:szCs w:val="24"/>
          <w:shd w:val="clear" w:color="auto" w:fill="FFFFFF"/>
        </w:rPr>
        <w:t>2006.</w:t>
      </w:r>
    </w:p>
    <w:p w14:paraId="7977B582" w14:textId="77777777" w:rsidR="006077B4" w:rsidRPr="009C258B" w:rsidRDefault="006077B4" w:rsidP="002E62AF">
      <w:pPr>
        <w:spacing w:line="240" w:lineRule="auto"/>
        <w:ind w:firstLine="0"/>
        <w:contextualSpacing/>
        <w:mirrorIndents/>
        <w:rPr>
          <w:rFonts w:cs="Times New Roman"/>
          <w:szCs w:val="24"/>
          <w:shd w:val="clear" w:color="auto" w:fill="FFFFFF"/>
        </w:rPr>
      </w:pPr>
    </w:p>
    <w:p w14:paraId="0884A58F" w14:textId="6110D1B0" w:rsidR="00093BC9" w:rsidRDefault="00A912D5" w:rsidP="002E62AF">
      <w:pPr>
        <w:spacing w:line="240" w:lineRule="auto"/>
        <w:ind w:firstLine="0"/>
        <w:contextualSpacing/>
        <w:mirrorIndents/>
        <w:rPr>
          <w:rFonts w:cs="Times New Roman"/>
          <w:szCs w:val="24"/>
          <w:shd w:val="clear" w:color="auto" w:fill="FFFFFF"/>
        </w:rPr>
      </w:pPr>
      <w:r w:rsidRPr="009C258B">
        <w:rPr>
          <w:rFonts w:cs="Times New Roman"/>
          <w:szCs w:val="24"/>
          <w:shd w:val="clear" w:color="auto" w:fill="FFFFFF"/>
        </w:rPr>
        <w:t xml:space="preserve">FREITAS, R. </w:t>
      </w:r>
      <w:r w:rsidR="004B0E2D" w:rsidRPr="009C258B">
        <w:rPr>
          <w:rFonts w:cs="Times New Roman"/>
          <w:szCs w:val="24"/>
          <w:shd w:val="clear" w:color="auto" w:fill="FFFFFF"/>
        </w:rPr>
        <w:t xml:space="preserve">A trilha secreta: Benjamin, Brecht e o </w:t>
      </w:r>
      <w:proofErr w:type="spellStart"/>
      <w:r w:rsidR="004B0E2D" w:rsidRPr="009C258B">
        <w:rPr>
          <w:rFonts w:cs="Times New Roman"/>
          <w:szCs w:val="24"/>
          <w:shd w:val="clear" w:color="auto" w:fill="FFFFFF"/>
        </w:rPr>
        <w:t>antitrágico</w:t>
      </w:r>
      <w:proofErr w:type="spellEnd"/>
      <w:r w:rsidR="004B0E2D" w:rsidRPr="009C258B">
        <w:rPr>
          <w:rFonts w:cs="Times New Roman"/>
          <w:szCs w:val="24"/>
          <w:shd w:val="clear" w:color="auto" w:fill="FFFFFF"/>
        </w:rPr>
        <w:t xml:space="preserve">. </w:t>
      </w:r>
      <w:proofErr w:type="spellStart"/>
      <w:r w:rsidR="004B0E2D" w:rsidRPr="00A912D5">
        <w:rPr>
          <w:rFonts w:cs="Times New Roman"/>
          <w:b/>
          <w:bCs/>
          <w:szCs w:val="24"/>
          <w:shd w:val="clear" w:color="auto" w:fill="FFFFFF"/>
        </w:rPr>
        <w:t>Kriterion</w:t>
      </w:r>
      <w:proofErr w:type="spellEnd"/>
      <w:r w:rsidR="004B0E2D" w:rsidRPr="009C258B">
        <w:rPr>
          <w:rFonts w:cs="Times New Roman"/>
          <w:szCs w:val="24"/>
          <w:shd w:val="clear" w:color="auto" w:fill="FFFFFF"/>
        </w:rPr>
        <w:t>, v. 65, n. 158, 2024.</w:t>
      </w:r>
    </w:p>
    <w:p w14:paraId="5D492594" w14:textId="77777777" w:rsidR="00A912D5" w:rsidRPr="009C258B" w:rsidRDefault="00A912D5" w:rsidP="002E62AF">
      <w:pPr>
        <w:spacing w:line="240" w:lineRule="auto"/>
        <w:ind w:firstLine="0"/>
        <w:contextualSpacing/>
        <w:mirrorIndents/>
        <w:rPr>
          <w:rFonts w:cs="Times New Roman"/>
          <w:szCs w:val="24"/>
          <w:shd w:val="clear" w:color="auto" w:fill="FFFFFF"/>
        </w:rPr>
      </w:pPr>
    </w:p>
    <w:p w14:paraId="63D2F121" w14:textId="65B80E7D" w:rsidR="000B7E29" w:rsidRDefault="00A912D5" w:rsidP="002E62AF">
      <w:pPr>
        <w:spacing w:line="240" w:lineRule="auto"/>
        <w:ind w:firstLine="0"/>
        <w:contextualSpacing/>
        <w:mirrorIndents/>
        <w:rPr>
          <w:rFonts w:cs="Times New Roman"/>
          <w:color w:val="auto"/>
          <w:szCs w:val="24"/>
          <w:shd w:val="clear" w:color="auto" w:fill="FFFFFF"/>
          <w:lang w:val="en-US"/>
        </w:rPr>
      </w:pPr>
      <w:r w:rsidRPr="009C258B">
        <w:rPr>
          <w:rFonts w:cs="Times New Roman"/>
          <w:szCs w:val="24"/>
          <w:shd w:val="clear" w:color="auto" w:fill="FFFFFF"/>
        </w:rPr>
        <w:t>GAGNEBIN</w:t>
      </w:r>
      <w:r w:rsidR="000B7E29" w:rsidRPr="009C258B">
        <w:rPr>
          <w:rFonts w:cs="Times New Roman"/>
          <w:szCs w:val="24"/>
          <w:shd w:val="clear" w:color="auto" w:fill="FFFFFF"/>
        </w:rPr>
        <w:t xml:space="preserve">, J.M. </w:t>
      </w:r>
      <w:r w:rsidR="000B7E29" w:rsidRPr="00A912D5">
        <w:rPr>
          <w:rFonts w:cs="Times New Roman"/>
          <w:b/>
          <w:bCs/>
          <w:szCs w:val="24"/>
          <w:shd w:val="clear" w:color="auto" w:fill="FFFFFF"/>
        </w:rPr>
        <w:t>Limiar, Aura e Rememoração</w:t>
      </w:r>
      <w:r w:rsidR="000B7E29" w:rsidRPr="009C258B">
        <w:rPr>
          <w:rFonts w:cs="Times New Roman"/>
          <w:szCs w:val="24"/>
          <w:shd w:val="clear" w:color="auto" w:fill="FFFFFF"/>
        </w:rPr>
        <w:t xml:space="preserve">. </w:t>
      </w:r>
      <w:r w:rsidR="00F26BAE" w:rsidRPr="00ED76FC">
        <w:rPr>
          <w:rFonts w:cs="Times New Roman"/>
          <w:szCs w:val="24"/>
          <w:shd w:val="clear" w:color="auto" w:fill="FFFFFF"/>
          <w:lang w:val="en-US"/>
        </w:rPr>
        <w:t>São Paulo: Editora 34, 2014.</w:t>
      </w:r>
    </w:p>
    <w:p w14:paraId="0F887F37" w14:textId="77777777" w:rsidR="006077B4" w:rsidRPr="006077B4" w:rsidRDefault="006077B4" w:rsidP="002E62AF">
      <w:pPr>
        <w:spacing w:line="240" w:lineRule="auto"/>
        <w:ind w:firstLine="0"/>
        <w:contextualSpacing/>
        <w:mirrorIndents/>
        <w:rPr>
          <w:rFonts w:cs="Times New Roman"/>
          <w:color w:val="auto"/>
          <w:szCs w:val="24"/>
          <w:shd w:val="clear" w:color="auto" w:fill="FFFFFF"/>
          <w:lang w:val="en-US"/>
        </w:rPr>
      </w:pPr>
    </w:p>
    <w:p w14:paraId="08624BCF" w14:textId="24695DDD" w:rsidR="001F18DD" w:rsidRPr="002E62AF" w:rsidRDefault="00CB5573" w:rsidP="002E62AF">
      <w:pPr>
        <w:spacing w:line="240" w:lineRule="auto"/>
        <w:ind w:firstLine="0"/>
        <w:contextualSpacing/>
        <w:mirrorIndents/>
        <w:rPr>
          <w:rFonts w:cs="Times New Roman"/>
          <w:szCs w:val="24"/>
          <w:shd w:val="clear" w:color="auto" w:fill="FFFFFF"/>
          <w:lang w:val="de-DE"/>
        </w:rPr>
      </w:pPr>
      <w:r w:rsidRPr="00ED76FC">
        <w:rPr>
          <w:rFonts w:cs="Times New Roman"/>
          <w:szCs w:val="24"/>
          <w:shd w:val="clear" w:color="auto" w:fill="FFFFFF"/>
          <w:lang w:val="en-US"/>
        </w:rPr>
        <w:t>GALLAGHER</w:t>
      </w:r>
      <w:r w:rsidR="001F18DD" w:rsidRPr="00ED76FC">
        <w:rPr>
          <w:rFonts w:cs="Times New Roman"/>
          <w:szCs w:val="24"/>
          <w:shd w:val="clear" w:color="auto" w:fill="FFFFFF"/>
          <w:lang w:val="en-US"/>
        </w:rPr>
        <w:t>, S. Dilthey and Empathy</w:t>
      </w:r>
      <w:r w:rsidR="00A912D5">
        <w:rPr>
          <w:rFonts w:cs="Times New Roman"/>
          <w:szCs w:val="24"/>
          <w:shd w:val="clear" w:color="auto" w:fill="FFFFFF"/>
          <w:lang w:val="en-US"/>
        </w:rPr>
        <w:t>.</w:t>
      </w:r>
      <w:r w:rsidR="001F18DD" w:rsidRPr="00ED76FC">
        <w:rPr>
          <w:rFonts w:cs="Times New Roman"/>
          <w:szCs w:val="24"/>
          <w:shd w:val="clear" w:color="auto" w:fill="FFFFFF"/>
          <w:lang w:val="en-US"/>
        </w:rPr>
        <w:t xml:space="preserve"> </w:t>
      </w:r>
      <w:r w:rsidR="00A912D5">
        <w:rPr>
          <w:rFonts w:cs="Times New Roman"/>
          <w:i/>
          <w:iCs/>
          <w:szCs w:val="24"/>
          <w:shd w:val="clear" w:color="auto" w:fill="FFFFFF"/>
          <w:lang w:val="en-US"/>
        </w:rPr>
        <w:t>I</w:t>
      </w:r>
      <w:r w:rsidR="001F18DD" w:rsidRPr="00ED76FC">
        <w:rPr>
          <w:rFonts w:cs="Times New Roman"/>
          <w:i/>
          <w:iCs/>
          <w:szCs w:val="24"/>
          <w:shd w:val="clear" w:color="auto" w:fill="FFFFFF"/>
          <w:lang w:val="en-US"/>
        </w:rPr>
        <w:t>n</w:t>
      </w:r>
      <w:r w:rsidR="00AC63F3">
        <w:rPr>
          <w:rFonts w:cs="Times New Roman"/>
          <w:szCs w:val="24"/>
          <w:shd w:val="clear" w:color="auto" w:fill="FFFFFF"/>
          <w:lang w:val="en-US"/>
        </w:rPr>
        <w:t>:</w:t>
      </w:r>
      <w:r w:rsidR="001F18DD" w:rsidRPr="00ED76FC">
        <w:rPr>
          <w:rFonts w:cs="Times New Roman"/>
          <w:szCs w:val="24"/>
          <w:shd w:val="clear" w:color="auto" w:fill="FFFFFF"/>
          <w:lang w:val="en-US"/>
        </w:rPr>
        <w:t xml:space="preserve"> </w:t>
      </w:r>
      <w:r w:rsidR="00F77770" w:rsidRPr="00B11E68">
        <w:rPr>
          <w:rFonts w:cs="Times New Roman"/>
          <w:szCs w:val="24"/>
          <w:shd w:val="clear" w:color="auto" w:fill="FFFFFF"/>
          <w:lang w:val="en-US"/>
        </w:rPr>
        <w:t>NELSON</w:t>
      </w:r>
      <w:r w:rsidR="00F77770">
        <w:rPr>
          <w:rFonts w:cs="Times New Roman"/>
          <w:szCs w:val="24"/>
          <w:shd w:val="clear" w:color="auto" w:fill="FFFFFF"/>
          <w:lang w:val="en-US"/>
        </w:rPr>
        <w:t xml:space="preserve">, </w:t>
      </w:r>
      <w:r w:rsidR="00F77770" w:rsidRPr="00B11E68">
        <w:rPr>
          <w:rFonts w:cs="Times New Roman"/>
          <w:szCs w:val="24"/>
          <w:shd w:val="clear" w:color="auto" w:fill="FFFFFF"/>
          <w:lang w:val="en-US"/>
        </w:rPr>
        <w:t>E. S</w:t>
      </w:r>
      <w:r w:rsidR="00F77770">
        <w:rPr>
          <w:rFonts w:cs="Times New Roman"/>
          <w:szCs w:val="24"/>
          <w:shd w:val="clear" w:color="auto" w:fill="FFFFFF"/>
          <w:lang w:val="en-US"/>
        </w:rPr>
        <w:t>.</w:t>
      </w:r>
      <w:r w:rsidR="00A912D5" w:rsidRPr="00B11E68">
        <w:rPr>
          <w:rFonts w:cs="Times New Roman"/>
          <w:szCs w:val="24"/>
          <w:shd w:val="clear" w:color="auto" w:fill="FFFFFF"/>
          <w:lang w:val="en-US"/>
        </w:rPr>
        <w:t xml:space="preserve"> </w:t>
      </w:r>
      <w:r w:rsidR="00A912D5" w:rsidRPr="00F77770">
        <w:rPr>
          <w:rFonts w:cs="Times New Roman"/>
          <w:b/>
          <w:bCs/>
          <w:szCs w:val="24"/>
          <w:shd w:val="clear" w:color="auto" w:fill="FFFFFF"/>
          <w:lang w:val="en-US"/>
        </w:rPr>
        <w:t>Interpreting Dilthey</w:t>
      </w:r>
      <w:r w:rsidR="00A912D5" w:rsidRPr="00B11E68">
        <w:rPr>
          <w:rFonts w:cs="Times New Roman"/>
          <w:szCs w:val="24"/>
          <w:shd w:val="clear" w:color="auto" w:fill="FFFFFF"/>
          <w:lang w:val="en-US"/>
        </w:rPr>
        <w:t>: Critical</w:t>
      </w:r>
      <w:r w:rsidR="00AC63F3">
        <w:rPr>
          <w:rFonts w:cs="Times New Roman"/>
          <w:szCs w:val="24"/>
          <w:shd w:val="clear" w:color="auto" w:fill="FFFFFF"/>
          <w:lang w:val="en-US"/>
        </w:rPr>
        <w:t xml:space="preserve"> </w:t>
      </w:r>
      <w:r w:rsidR="00A912D5" w:rsidRPr="00B11E68">
        <w:rPr>
          <w:rFonts w:cs="Times New Roman"/>
          <w:szCs w:val="24"/>
          <w:shd w:val="clear" w:color="auto" w:fill="FFFFFF"/>
          <w:lang w:val="en-US"/>
        </w:rPr>
        <w:t xml:space="preserve">Essays. </w:t>
      </w:r>
      <w:r w:rsidR="00A912D5" w:rsidRPr="002E62AF">
        <w:rPr>
          <w:rFonts w:cs="Times New Roman"/>
          <w:szCs w:val="24"/>
          <w:shd w:val="clear" w:color="auto" w:fill="FFFFFF"/>
          <w:lang w:val="de-DE"/>
        </w:rPr>
        <w:t>Cambridge: Cambridge University Press</w:t>
      </w:r>
      <w:r w:rsidR="001F18DD" w:rsidRPr="002E62AF">
        <w:rPr>
          <w:rFonts w:cs="Times New Roman"/>
          <w:szCs w:val="24"/>
          <w:shd w:val="clear" w:color="auto" w:fill="FFFFFF"/>
          <w:lang w:val="de-DE"/>
        </w:rPr>
        <w:t>, 2019.</w:t>
      </w:r>
      <w:r w:rsidR="00AC63F3" w:rsidRPr="002E62AF">
        <w:rPr>
          <w:rFonts w:cs="Times New Roman"/>
          <w:szCs w:val="24"/>
          <w:shd w:val="clear" w:color="auto" w:fill="FFFFFF"/>
          <w:lang w:val="de-DE"/>
        </w:rPr>
        <w:t xml:space="preserve"> p. 145- 158.</w:t>
      </w:r>
    </w:p>
    <w:p w14:paraId="4848F457" w14:textId="77777777" w:rsidR="006077B4" w:rsidRPr="002E62AF" w:rsidRDefault="006077B4" w:rsidP="002E62AF">
      <w:pPr>
        <w:spacing w:line="240" w:lineRule="auto"/>
        <w:ind w:firstLine="0"/>
        <w:contextualSpacing/>
        <w:mirrorIndents/>
        <w:rPr>
          <w:rFonts w:cs="Times New Roman"/>
          <w:szCs w:val="24"/>
          <w:shd w:val="clear" w:color="auto" w:fill="FFFFFF"/>
          <w:lang w:val="de-DE"/>
        </w:rPr>
      </w:pPr>
    </w:p>
    <w:p w14:paraId="1222620B" w14:textId="35DD6200" w:rsidR="00C24804" w:rsidRDefault="00CB5573" w:rsidP="002E62AF">
      <w:pPr>
        <w:spacing w:line="240" w:lineRule="auto"/>
        <w:ind w:firstLine="0"/>
        <w:contextualSpacing/>
        <w:mirrorIndents/>
        <w:rPr>
          <w:rFonts w:cs="Times New Roman"/>
          <w:szCs w:val="24"/>
          <w:shd w:val="clear" w:color="auto" w:fill="FFFFFF"/>
          <w:lang w:val="de-DE"/>
        </w:rPr>
      </w:pPr>
      <w:r w:rsidRPr="00ED76FC">
        <w:rPr>
          <w:rFonts w:cs="Times New Roman"/>
          <w:szCs w:val="24"/>
          <w:shd w:val="clear" w:color="auto" w:fill="FFFFFF"/>
          <w:lang w:val="de-DE"/>
        </w:rPr>
        <w:t>GREFFRATH</w:t>
      </w:r>
      <w:r w:rsidR="00C24804" w:rsidRPr="00ED76FC">
        <w:rPr>
          <w:rFonts w:cs="Times New Roman"/>
          <w:szCs w:val="24"/>
          <w:shd w:val="clear" w:color="auto" w:fill="FFFFFF"/>
          <w:lang w:val="de-DE"/>
        </w:rPr>
        <w:t xml:space="preserve">, K. </w:t>
      </w:r>
      <w:r w:rsidR="00C24804" w:rsidRPr="00A912D5">
        <w:rPr>
          <w:rFonts w:cs="Times New Roman"/>
          <w:b/>
          <w:bCs/>
          <w:szCs w:val="24"/>
          <w:shd w:val="clear" w:color="auto" w:fill="FFFFFF"/>
          <w:lang w:val="de-DE"/>
        </w:rPr>
        <w:t>Metaphorischer Materialismus</w:t>
      </w:r>
      <w:r w:rsidR="00C24804" w:rsidRPr="00A912D5">
        <w:rPr>
          <w:rFonts w:cs="Times New Roman"/>
          <w:szCs w:val="24"/>
          <w:shd w:val="clear" w:color="auto" w:fill="FFFFFF"/>
          <w:lang w:val="de-DE"/>
        </w:rPr>
        <w:t>. Untersuchungen zum Geschichtsbegriff Walter Benjamins</w:t>
      </w:r>
      <w:r w:rsidR="00C24804" w:rsidRPr="00ED76FC">
        <w:rPr>
          <w:rFonts w:cs="Times New Roman"/>
          <w:szCs w:val="24"/>
          <w:shd w:val="clear" w:color="auto" w:fill="FFFFFF"/>
          <w:lang w:val="de-DE"/>
        </w:rPr>
        <w:t>. München: Fink, 1981.</w:t>
      </w:r>
    </w:p>
    <w:p w14:paraId="72995085" w14:textId="77777777" w:rsidR="006077B4" w:rsidRPr="00ED76FC" w:rsidRDefault="006077B4" w:rsidP="002E62AF">
      <w:pPr>
        <w:spacing w:line="240" w:lineRule="auto"/>
        <w:ind w:firstLine="0"/>
        <w:contextualSpacing/>
        <w:mirrorIndents/>
        <w:rPr>
          <w:rFonts w:cs="Times New Roman"/>
          <w:szCs w:val="24"/>
          <w:shd w:val="clear" w:color="auto" w:fill="FFFFFF"/>
          <w:lang w:val="de-DE"/>
        </w:rPr>
      </w:pPr>
    </w:p>
    <w:p w14:paraId="19644D6C" w14:textId="54A8E10F" w:rsidR="00680248" w:rsidRDefault="00CB5573" w:rsidP="002E62AF">
      <w:pPr>
        <w:spacing w:line="240" w:lineRule="auto"/>
        <w:ind w:firstLine="0"/>
        <w:contextualSpacing/>
        <w:mirrorIndents/>
        <w:rPr>
          <w:rFonts w:cs="Times New Roman"/>
          <w:szCs w:val="24"/>
          <w:lang w:val="de-DE"/>
        </w:rPr>
      </w:pPr>
      <w:r w:rsidRPr="00ED76FC">
        <w:rPr>
          <w:rFonts w:cs="Times New Roman"/>
          <w:szCs w:val="24"/>
          <w:lang w:val="de-DE"/>
        </w:rPr>
        <w:t>KNOPF</w:t>
      </w:r>
      <w:r w:rsidR="00680248" w:rsidRPr="00ED76FC">
        <w:rPr>
          <w:rFonts w:cs="Times New Roman"/>
          <w:szCs w:val="24"/>
          <w:lang w:val="de-DE"/>
        </w:rPr>
        <w:t>, J</w:t>
      </w:r>
      <w:r w:rsidR="00086504" w:rsidRPr="00ED76FC">
        <w:rPr>
          <w:rFonts w:cs="Times New Roman"/>
          <w:szCs w:val="24"/>
          <w:lang w:val="de-DE"/>
        </w:rPr>
        <w:t>.</w:t>
      </w:r>
      <w:r w:rsidR="00680248" w:rsidRPr="00ED76FC">
        <w:rPr>
          <w:rFonts w:cs="Times New Roman"/>
          <w:szCs w:val="24"/>
          <w:lang w:val="de-DE"/>
        </w:rPr>
        <w:t xml:space="preserve"> </w:t>
      </w:r>
      <w:r w:rsidR="00680248" w:rsidRPr="00A912D5">
        <w:rPr>
          <w:rFonts w:cs="Times New Roman"/>
          <w:b/>
          <w:bCs/>
          <w:szCs w:val="24"/>
          <w:lang w:val="de-DE"/>
        </w:rPr>
        <w:t>Brecht Handbuch</w:t>
      </w:r>
      <w:r w:rsidR="00680248" w:rsidRPr="00A912D5">
        <w:rPr>
          <w:rFonts w:cs="Times New Roman"/>
          <w:szCs w:val="24"/>
          <w:lang w:val="de-DE"/>
        </w:rPr>
        <w:t xml:space="preserve">. </w:t>
      </w:r>
      <w:r w:rsidR="007D3E43" w:rsidRPr="00A912D5">
        <w:rPr>
          <w:rFonts w:cs="Times New Roman"/>
          <w:szCs w:val="24"/>
          <w:lang w:val="de-DE"/>
        </w:rPr>
        <w:t>Band</w:t>
      </w:r>
      <w:r w:rsidR="00680248" w:rsidRPr="00A912D5">
        <w:rPr>
          <w:rFonts w:cs="Times New Roman"/>
          <w:szCs w:val="24"/>
          <w:lang w:val="de-DE"/>
        </w:rPr>
        <w:t xml:space="preserve"> 4</w:t>
      </w:r>
      <w:r w:rsidR="007D3E43" w:rsidRPr="00ED76FC">
        <w:rPr>
          <w:rFonts w:cs="Times New Roman"/>
          <w:szCs w:val="24"/>
          <w:lang w:val="de-DE"/>
        </w:rPr>
        <w:t>.</w:t>
      </w:r>
      <w:r w:rsidR="00680248" w:rsidRPr="00ED76FC">
        <w:rPr>
          <w:rFonts w:cs="Times New Roman"/>
          <w:szCs w:val="24"/>
          <w:lang w:val="de-DE"/>
        </w:rPr>
        <w:t xml:space="preserve"> Stuttgart/Weimar: J.B. Metzler, 2003.</w:t>
      </w:r>
    </w:p>
    <w:p w14:paraId="34C3DB84" w14:textId="77777777" w:rsidR="006077B4" w:rsidRPr="00ED76FC" w:rsidRDefault="006077B4" w:rsidP="002E62AF">
      <w:pPr>
        <w:spacing w:line="240" w:lineRule="auto"/>
        <w:ind w:firstLine="0"/>
        <w:contextualSpacing/>
        <w:mirrorIndents/>
        <w:rPr>
          <w:rFonts w:cs="Times New Roman"/>
          <w:szCs w:val="24"/>
          <w:lang w:val="de-DE"/>
        </w:rPr>
      </w:pPr>
    </w:p>
    <w:p w14:paraId="190F5370" w14:textId="5033A38D" w:rsidR="00FE7B80" w:rsidRPr="002E62AF" w:rsidRDefault="00CB5573" w:rsidP="002E62AF">
      <w:pPr>
        <w:spacing w:line="240" w:lineRule="auto"/>
        <w:ind w:firstLine="0"/>
        <w:contextualSpacing/>
        <w:mirrorIndents/>
        <w:rPr>
          <w:rFonts w:cs="Times New Roman"/>
          <w:szCs w:val="24"/>
        </w:rPr>
      </w:pPr>
      <w:r w:rsidRPr="009C258B">
        <w:rPr>
          <w:rFonts w:cs="Times New Roman"/>
          <w:szCs w:val="24"/>
        </w:rPr>
        <w:t>LÖWY</w:t>
      </w:r>
      <w:r w:rsidR="00FE7B80" w:rsidRPr="009C258B">
        <w:rPr>
          <w:rFonts w:cs="Times New Roman"/>
          <w:szCs w:val="24"/>
        </w:rPr>
        <w:t xml:space="preserve">, M. A filosofia da história de Walter Benjamin. </w:t>
      </w:r>
      <w:r w:rsidR="00FE7B80" w:rsidRPr="002E62AF">
        <w:rPr>
          <w:rFonts w:cs="Times New Roman"/>
          <w:b/>
          <w:bCs/>
          <w:szCs w:val="24"/>
        </w:rPr>
        <w:t>Estudos Avançados</w:t>
      </w:r>
      <w:r w:rsidR="00FE7B80" w:rsidRPr="002E62AF">
        <w:rPr>
          <w:rFonts w:cs="Times New Roman"/>
          <w:szCs w:val="24"/>
        </w:rPr>
        <w:t>, n. 16</w:t>
      </w:r>
      <w:r w:rsidR="00A912D5" w:rsidRPr="002E62AF">
        <w:rPr>
          <w:rFonts w:cs="Times New Roman"/>
          <w:szCs w:val="24"/>
        </w:rPr>
        <w:t xml:space="preserve">, v. </w:t>
      </w:r>
      <w:r w:rsidR="00FE7B80" w:rsidRPr="002E62AF">
        <w:rPr>
          <w:rFonts w:cs="Times New Roman"/>
          <w:szCs w:val="24"/>
        </w:rPr>
        <w:t>45</w:t>
      </w:r>
      <w:r w:rsidR="00323EC8" w:rsidRPr="002E62AF">
        <w:rPr>
          <w:rFonts w:cs="Times New Roman"/>
          <w:szCs w:val="24"/>
        </w:rPr>
        <w:t>,</w:t>
      </w:r>
      <w:r w:rsidR="00A912D5" w:rsidRPr="002E62AF">
        <w:rPr>
          <w:rFonts w:cs="Times New Roman"/>
          <w:szCs w:val="24"/>
        </w:rPr>
        <w:t xml:space="preserve"> p.</w:t>
      </w:r>
      <w:r w:rsidR="00AC63F3" w:rsidRPr="002E62AF">
        <w:rPr>
          <w:rFonts w:cs="Times New Roman"/>
          <w:szCs w:val="24"/>
        </w:rPr>
        <w:t xml:space="preserve"> </w:t>
      </w:r>
      <w:r w:rsidR="00A912D5" w:rsidRPr="002E62AF">
        <w:rPr>
          <w:rFonts w:cs="Times New Roman"/>
          <w:szCs w:val="24"/>
        </w:rPr>
        <w:t>199-206,</w:t>
      </w:r>
      <w:r w:rsidR="00323EC8" w:rsidRPr="002E62AF">
        <w:rPr>
          <w:rFonts w:cs="Times New Roman"/>
          <w:szCs w:val="24"/>
        </w:rPr>
        <w:t xml:space="preserve"> 2002.</w:t>
      </w:r>
    </w:p>
    <w:p w14:paraId="354B5C7E" w14:textId="77777777" w:rsidR="006077B4" w:rsidRPr="002E62AF" w:rsidRDefault="006077B4" w:rsidP="002E62AF">
      <w:pPr>
        <w:spacing w:line="240" w:lineRule="auto"/>
        <w:ind w:firstLine="0"/>
        <w:contextualSpacing/>
        <w:mirrorIndents/>
        <w:rPr>
          <w:rFonts w:cs="Times New Roman"/>
          <w:szCs w:val="24"/>
        </w:rPr>
      </w:pPr>
    </w:p>
    <w:p w14:paraId="205C0117" w14:textId="0E799703" w:rsidR="00890524" w:rsidRDefault="00CB5573" w:rsidP="002E62AF">
      <w:pPr>
        <w:spacing w:line="240" w:lineRule="auto"/>
        <w:ind w:firstLine="0"/>
        <w:contextualSpacing/>
        <w:mirrorIndents/>
        <w:rPr>
          <w:rFonts w:cs="Times New Roman"/>
          <w:szCs w:val="24"/>
          <w:lang w:val="en-US"/>
        </w:rPr>
      </w:pPr>
      <w:r w:rsidRPr="00ED76FC">
        <w:rPr>
          <w:rFonts w:cs="Times New Roman"/>
          <w:szCs w:val="24"/>
          <w:lang w:val="de-DE"/>
        </w:rPr>
        <w:t>MUL</w:t>
      </w:r>
      <w:r w:rsidR="00890524" w:rsidRPr="00ED76FC">
        <w:rPr>
          <w:rFonts w:cs="Times New Roman"/>
          <w:szCs w:val="24"/>
          <w:lang w:val="de-DE"/>
        </w:rPr>
        <w:t>, J. Leben erfa</w:t>
      </w:r>
      <w:r w:rsidR="001F18DD" w:rsidRPr="00ED76FC">
        <w:rPr>
          <w:rFonts w:cs="Times New Roman"/>
          <w:szCs w:val="24"/>
          <w:lang w:val="de-DE"/>
        </w:rPr>
        <w:t>ss</w:t>
      </w:r>
      <w:r w:rsidR="00890524" w:rsidRPr="00ED76FC">
        <w:rPr>
          <w:rFonts w:cs="Times New Roman"/>
          <w:szCs w:val="24"/>
          <w:lang w:val="de-DE"/>
        </w:rPr>
        <w:t xml:space="preserve">t hier Leben. </w:t>
      </w:r>
      <w:r w:rsidR="00890524" w:rsidRPr="00ED76FC">
        <w:rPr>
          <w:rFonts w:cs="Times New Roman"/>
          <w:szCs w:val="24"/>
          <w:lang w:val="en-US"/>
        </w:rPr>
        <w:t>Dilthey as a Philosopher of (the) Life (Sciences)</w:t>
      </w:r>
      <w:r w:rsidR="00A912D5">
        <w:rPr>
          <w:rFonts w:cs="Times New Roman"/>
          <w:szCs w:val="24"/>
          <w:lang w:val="en-US"/>
        </w:rPr>
        <w:t>.</w:t>
      </w:r>
      <w:r w:rsidR="00890524" w:rsidRPr="00ED76FC">
        <w:rPr>
          <w:rFonts w:cs="Times New Roman"/>
          <w:szCs w:val="24"/>
          <w:lang w:val="en-US"/>
        </w:rPr>
        <w:t xml:space="preserve"> </w:t>
      </w:r>
      <w:r w:rsidR="00AC63F3">
        <w:rPr>
          <w:rFonts w:cs="Times New Roman"/>
          <w:i/>
          <w:iCs/>
          <w:szCs w:val="24"/>
          <w:shd w:val="clear" w:color="auto" w:fill="FFFFFF"/>
          <w:lang w:val="en-US"/>
        </w:rPr>
        <w:t>I</w:t>
      </w:r>
      <w:r w:rsidR="00AC63F3" w:rsidRPr="00ED76FC">
        <w:rPr>
          <w:rFonts w:cs="Times New Roman"/>
          <w:i/>
          <w:iCs/>
          <w:szCs w:val="24"/>
          <w:shd w:val="clear" w:color="auto" w:fill="FFFFFF"/>
          <w:lang w:val="en-US"/>
        </w:rPr>
        <w:t>n</w:t>
      </w:r>
      <w:r w:rsidR="00AC63F3">
        <w:rPr>
          <w:rFonts w:cs="Times New Roman"/>
          <w:szCs w:val="24"/>
          <w:shd w:val="clear" w:color="auto" w:fill="FFFFFF"/>
          <w:lang w:val="en-US"/>
        </w:rPr>
        <w:t xml:space="preserve">: </w:t>
      </w:r>
      <w:r w:rsidR="00F77770" w:rsidRPr="00B11E68">
        <w:rPr>
          <w:rFonts w:cs="Times New Roman"/>
          <w:szCs w:val="24"/>
          <w:shd w:val="clear" w:color="auto" w:fill="FFFFFF"/>
          <w:lang w:val="en-US"/>
        </w:rPr>
        <w:t>NELSON</w:t>
      </w:r>
      <w:r w:rsidR="00F77770">
        <w:rPr>
          <w:rFonts w:cs="Times New Roman"/>
          <w:szCs w:val="24"/>
          <w:shd w:val="clear" w:color="auto" w:fill="FFFFFF"/>
          <w:lang w:val="en-US"/>
        </w:rPr>
        <w:t xml:space="preserve">, </w:t>
      </w:r>
      <w:r w:rsidR="00F77770" w:rsidRPr="00B11E68">
        <w:rPr>
          <w:rFonts w:cs="Times New Roman"/>
          <w:szCs w:val="24"/>
          <w:shd w:val="clear" w:color="auto" w:fill="FFFFFF"/>
          <w:lang w:val="en-US"/>
        </w:rPr>
        <w:t>E. S</w:t>
      </w:r>
      <w:r w:rsidR="00F77770">
        <w:rPr>
          <w:rFonts w:cs="Times New Roman"/>
          <w:szCs w:val="24"/>
          <w:shd w:val="clear" w:color="auto" w:fill="FFFFFF"/>
          <w:lang w:val="en-US"/>
        </w:rPr>
        <w:t>.</w:t>
      </w:r>
      <w:r w:rsidR="00AC63F3" w:rsidRPr="00B11E68">
        <w:rPr>
          <w:rFonts w:cs="Times New Roman"/>
          <w:szCs w:val="24"/>
          <w:shd w:val="clear" w:color="auto" w:fill="FFFFFF"/>
          <w:lang w:val="en-US"/>
        </w:rPr>
        <w:t xml:space="preserve"> </w:t>
      </w:r>
      <w:r w:rsidR="00AC63F3" w:rsidRPr="00AC63F3">
        <w:rPr>
          <w:rFonts w:cs="Times New Roman"/>
          <w:b/>
          <w:bCs/>
          <w:szCs w:val="24"/>
          <w:shd w:val="clear" w:color="auto" w:fill="FFFFFF"/>
          <w:lang w:val="en-US"/>
        </w:rPr>
        <w:t>Interpreting Dilthey</w:t>
      </w:r>
      <w:r w:rsidR="00AC63F3" w:rsidRPr="00B11E68">
        <w:rPr>
          <w:rFonts w:cs="Times New Roman"/>
          <w:szCs w:val="24"/>
          <w:shd w:val="clear" w:color="auto" w:fill="FFFFFF"/>
          <w:lang w:val="en-US"/>
        </w:rPr>
        <w:t>: Critical</w:t>
      </w:r>
      <w:r w:rsidR="00AC63F3">
        <w:rPr>
          <w:rFonts w:cs="Times New Roman"/>
          <w:szCs w:val="24"/>
          <w:shd w:val="clear" w:color="auto" w:fill="FFFFFF"/>
          <w:lang w:val="en-US"/>
        </w:rPr>
        <w:t xml:space="preserve"> </w:t>
      </w:r>
      <w:r w:rsidR="00AC63F3" w:rsidRPr="00B11E68">
        <w:rPr>
          <w:rFonts w:cs="Times New Roman"/>
          <w:szCs w:val="24"/>
          <w:shd w:val="clear" w:color="auto" w:fill="FFFFFF"/>
          <w:lang w:val="en-US"/>
        </w:rPr>
        <w:t>Essays</w:t>
      </w:r>
      <w:r w:rsidR="00890524" w:rsidRPr="00ED76FC">
        <w:rPr>
          <w:rFonts w:cs="Times New Roman"/>
          <w:szCs w:val="24"/>
          <w:lang w:val="en-US"/>
        </w:rPr>
        <w:t>, 2019.</w:t>
      </w:r>
      <w:r w:rsidR="00AC63F3">
        <w:rPr>
          <w:rFonts w:cs="Times New Roman"/>
          <w:szCs w:val="24"/>
          <w:lang w:val="en-US"/>
        </w:rPr>
        <w:t xml:space="preserve"> </w:t>
      </w:r>
      <w:proofErr w:type="gramStart"/>
      <w:r w:rsidR="00AC63F3">
        <w:rPr>
          <w:rFonts w:cs="Times New Roman"/>
          <w:szCs w:val="24"/>
          <w:lang w:val="en-US"/>
        </w:rPr>
        <w:t>p. 41</w:t>
      </w:r>
      <w:proofErr w:type="gramEnd"/>
      <w:r w:rsidR="00AC63F3">
        <w:rPr>
          <w:rFonts w:cs="Times New Roman"/>
          <w:szCs w:val="24"/>
          <w:lang w:val="en-US"/>
        </w:rPr>
        <w:t>-60.</w:t>
      </w:r>
    </w:p>
    <w:p w14:paraId="5C4BE251" w14:textId="77777777" w:rsidR="00CB5573" w:rsidRPr="00ED76FC" w:rsidRDefault="00CB5573" w:rsidP="002E62AF">
      <w:pPr>
        <w:spacing w:line="240" w:lineRule="auto"/>
        <w:ind w:firstLine="0"/>
        <w:contextualSpacing/>
        <w:mirrorIndents/>
        <w:rPr>
          <w:rFonts w:cs="Times New Roman"/>
          <w:szCs w:val="24"/>
          <w:lang w:val="en-US"/>
        </w:rPr>
      </w:pPr>
    </w:p>
    <w:p w14:paraId="3FAEDE4E" w14:textId="6F44E424" w:rsidR="00086504" w:rsidRDefault="00AC63F3" w:rsidP="002E62AF">
      <w:pPr>
        <w:spacing w:line="240" w:lineRule="auto"/>
        <w:ind w:firstLine="0"/>
        <w:contextualSpacing/>
        <w:mirrorIndents/>
        <w:rPr>
          <w:rFonts w:cs="Times New Roman"/>
          <w:szCs w:val="24"/>
          <w:lang w:val="en-US"/>
        </w:rPr>
      </w:pPr>
      <w:r w:rsidRPr="00B11E68">
        <w:rPr>
          <w:rFonts w:cs="Times New Roman"/>
          <w:szCs w:val="24"/>
          <w:shd w:val="clear" w:color="auto" w:fill="FFFFFF"/>
          <w:lang w:val="en-US"/>
        </w:rPr>
        <w:t>NELSON</w:t>
      </w:r>
      <w:r>
        <w:rPr>
          <w:rFonts w:cs="Times New Roman"/>
          <w:szCs w:val="24"/>
          <w:shd w:val="clear" w:color="auto" w:fill="FFFFFF"/>
          <w:lang w:val="en-US"/>
        </w:rPr>
        <w:t xml:space="preserve">, </w:t>
      </w:r>
      <w:r w:rsidRPr="00B11E68">
        <w:rPr>
          <w:rFonts w:cs="Times New Roman"/>
          <w:szCs w:val="24"/>
          <w:shd w:val="clear" w:color="auto" w:fill="FFFFFF"/>
          <w:lang w:val="en-US"/>
        </w:rPr>
        <w:t>E. S</w:t>
      </w:r>
      <w:r>
        <w:rPr>
          <w:rFonts w:cs="Times New Roman"/>
          <w:szCs w:val="24"/>
          <w:shd w:val="clear" w:color="auto" w:fill="FFFFFF"/>
          <w:lang w:val="en-US"/>
        </w:rPr>
        <w:t>.</w:t>
      </w:r>
      <w:r w:rsidRPr="00B11E68">
        <w:rPr>
          <w:rFonts w:cs="Times New Roman"/>
          <w:szCs w:val="24"/>
          <w:shd w:val="clear" w:color="auto" w:fill="FFFFFF"/>
          <w:lang w:val="en-US"/>
        </w:rPr>
        <w:t xml:space="preserve"> </w:t>
      </w:r>
      <w:r w:rsidRPr="00F77770">
        <w:rPr>
          <w:rFonts w:cs="Times New Roman"/>
          <w:b/>
          <w:bCs/>
          <w:szCs w:val="24"/>
          <w:shd w:val="clear" w:color="auto" w:fill="FFFFFF"/>
          <w:lang w:val="en-US"/>
        </w:rPr>
        <w:t>Interpreting Dilthey</w:t>
      </w:r>
      <w:r w:rsidRPr="00B11E68">
        <w:rPr>
          <w:rFonts w:cs="Times New Roman"/>
          <w:szCs w:val="24"/>
          <w:shd w:val="clear" w:color="auto" w:fill="FFFFFF"/>
          <w:lang w:val="en-US"/>
        </w:rPr>
        <w:t>: Critical</w:t>
      </w:r>
      <w:r>
        <w:rPr>
          <w:rFonts w:cs="Times New Roman"/>
          <w:szCs w:val="24"/>
          <w:shd w:val="clear" w:color="auto" w:fill="FFFFFF"/>
          <w:lang w:val="en-US"/>
        </w:rPr>
        <w:t xml:space="preserve"> </w:t>
      </w:r>
      <w:r w:rsidRPr="00B11E68">
        <w:rPr>
          <w:rFonts w:cs="Times New Roman"/>
          <w:szCs w:val="24"/>
          <w:shd w:val="clear" w:color="auto" w:fill="FFFFFF"/>
          <w:lang w:val="en-US"/>
        </w:rPr>
        <w:t>Essays</w:t>
      </w:r>
      <w:r w:rsidR="00086504" w:rsidRPr="00C15D8A">
        <w:rPr>
          <w:rFonts w:cs="Times New Roman"/>
          <w:szCs w:val="24"/>
          <w:lang w:val="en-US"/>
        </w:rPr>
        <w:t xml:space="preserve"> New York: Cambridge</w:t>
      </w:r>
      <w:r w:rsidR="00086504" w:rsidRPr="00ED76FC">
        <w:rPr>
          <w:rFonts w:cs="Times New Roman"/>
          <w:szCs w:val="24"/>
          <w:lang w:val="en-US"/>
        </w:rPr>
        <w:t xml:space="preserve"> University Press, 201</w:t>
      </w:r>
      <w:r w:rsidR="00890524" w:rsidRPr="00ED76FC">
        <w:rPr>
          <w:rFonts w:cs="Times New Roman"/>
          <w:szCs w:val="24"/>
          <w:lang w:val="en-US"/>
        </w:rPr>
        <w:t>9</w:t>
      </w:r>
      <w:r w:rsidR="00086504" w:rsidRPr="00ED76FC">
        <w:rPr>
          <w:rFonts w:cs="Times New Roman"/>
          <w:szCs w:val="24"/>
          <w:lang w:val="en-US"/>
        </w:rPr>
        <w:t>.</w:t>
      </w:r>
    </w:p>
    <w:p w14:paraId="40F13F21" w14:textId="77777777" w:rsidR="00F77770" w:rsidRDefault="00F77770" w:rsidP="002E62AF">
      <w:pPr>
        <w:spacing w:line="240" w:lineRule="auto"/>
        <w:ind w:firstLine="0"/>
        <w:contextualSpacing/>
        <w:mirrorIndents/>
        <w:rPr>
          <w:rFonts w:cs="Times New Roman"/>
          <w:szCs w:val="24"/>
          <w:lang w:val="en-US"/>
        </w:rPr>
      </w:pPr>
    </w:p>
    <w:p w14:paraId="54E3F810" w14:textId="0D8E8E41" w:rsidR="00F77770" w:rsidRDefault="00AC63F3" w:rsidP="002E62AF">
      <w:pPr>
        <w:spacing w:line="240" w:lineRule="auto"/>
        <w:ind w:firstLine="0"/>
        <w:contextualSpacing/>
        <w:mirrorIndents/>
        <w:rPr>
          <w:rFonts w:cs="Times New Roman"/>
          <w:szCs w:val="24"/>
          <w:lang w:val="en-US"/>
        </w:rPr>
      </w:pPr>
      <w:r w:rsidRPr="00B11E68">
        <w:rPr>
          <w:rFonts w:cs="Times New Roman"/>
          <w:szCs w:val="24"/>
          <w:shd w:val="clear" w:color="auto" w:fill="FFFFFF"/>
          <w:lang w:val="en-US"/>
        </w:rPr>
        <w:t>NELSON</w:t>
      </w:r>
      <w:r>
        <w:rPr>
          <w:rFonts w:cs="Times New Roman"/>
          <w:szCs w:val="24"/>
          <w:shd w:val="clear" w:color="auto" w:fill="FFFFFF"/>
          <w:lang w:val="en-US"/>
        </w:rPr>
        <w:t xml:space="preserve">, </w:t>
      </w:r>
      <w:r w:rsidRPr="00B11E68">
        <w:rPr>
          <w:rFonts w:cs="Times New Roman"/>
          <w:szCs w:val="24"/>
          <w:shd w:val="clear" w:color="auto" w:fill="FFFFFF"/>
          <w:lang w:val="en-US"/>
        </w:rPr>
        <w:t>E. S</w:t>
      </w:r>
      <w:r>
        <w:rPr>
          <w:rFonts w:cs="Times New Roman"/>
          <w:szCs w:val="24"/>
          <w:lang w:val="en-US"/>
        </w:rPr>
        <w:t xml:space="preserve">. </w:t>
      </w:r>
      <w:r w:rsidR="00086504" w:rsidRPr="00ED76FC">
        <w:rPr>
          <w:rFonts w:cs="Times New Roman"/>
          <w:szCs w:val="24"/>
          <w:lang w:val="en-US"/>
        </w:rPr>
        <w:t>Introduction: Wilhelm Dilthey in Context</w:t>
      </w:r>
      <w:r>
        <w:rPr>
          <w:rFonts w:cs="Times New Roman"/>
          <w:szCs w:val="24"/>
          <w:lang w:val="en-US"/>
        </w:rPr>
        <w:t>.</w:t>
      </w:r>
      <w:r w:rsidR="00086504" w:rsidRPr="00ED76FC">
        <w:rPr>
          <w:rFonts w:cs="Times New Roman"/>
          <w:szCs w:val="24"/>
          <w:lang w:val="en-US"/>
        </w:rPr>
        <w:t xml:space="preserve"> </w:t>
      </w:r>
      <w:r w:rsidR="00F77770">
        <w:rPr>
          <w:rFonts w:cs="Times New Roman"/>
          <w:i/>
          <w:iCs/>
          <w:szCs w:val="24"/>
          <w:lang w:val="en-US"/>
        </w:rPr>
        <w:t>I</w:t>
      </w:r>
      <w:r w:rsidR="00086504" w:rsidRPr="00ED76FC">
        <w:rPr>
          <w:rFonts w:cs="Times New Roman"/>
          <w:i/>
          <w:iCs/>
          <w:szCs w:val="24"/>
          <w:lang w:val="en-US"/>
        </w:rPr>
        <w:t>n</w:t>
      </w:r>
      <w:r w:rsidR="00F77770">
        <w:rPr>
          <w:rFonts w:cs="Times New Roman"/>
          <w:szCs w:val="24"/>
          <w:lang w:val="en-US"/>
        </w:rPr>
        <w:t>:</w:t>
      </w:r>
      <w:r w:rsidR="00086504" w:rsidRPr="00ED76FC">
        <w:rPr>
          <w:rFonts w:cs="Times New Roman"/>
          <w:szCs w:val="24"/>
          <w:lang w:val="en-US"/>
        </w:rPr>
        <w:t xml:space="preserve"> </w:t>
      </w:r>
      <w:r w:rsidR="00F77770" w:rsidRPr="00B11E68">
        <w:rPr>
          <w:rFonts w:cs="Times New Roman"/>
          <w:szCs w:val="24"/>
          <w:shd w:val="clear" w:color="auto" w:fill="FFFFFF"/>
          <w:lang w:val="en-US"/>
        </w:rPr>
        <w:t>NELSON</w:t>
      </w:r>
      <w:r w:rsidR="00F77770">
        <w:rPr>
          <w:rFonts w:cs="Times New Roman"/>
          <w:szCs w:val="24"/>
          <w:shd w:val="clear" w:color="auto" w:fill="FFFFFF"/>
          <w:lang w:val="en-US"/>
        </w:rPr>
        <w:t xml:space="preserve">, </w:t>
      </w:r>
      <w:r w:rsidR="00F77770" w:rsidRPr="00B11E68">
        <w:rPr>
          <w:rFonts w:cs="Times New Roman"/>
          <w:szCs w:val="24"/>
          <w:shd w:val="clear" w:color="auto" w:fill="FFFFFF"/>
          <w:lang w:val="en-US"/>
        </w:rPr>
        <w:t>E. S</w:t>
      </w:r>
      <w:r w:rsidR="00F77770">
        <w:rPr>
          <w:rFonts w:cs="Times New Roman"/>
          <w:szCs w:val="24"/>
          <w:shd w:val="clear" w:color="auto" w:fill="FFFFFF"/>
          <w:lang w:val="en-US"/>
        </w:rPr>
        <w:t>.</w:t>
      </w:r>
      <w:r w:rsidR="00F77770" w:rsidRPr="00B11E68">
        <w:rPr>
          <w:rFonts w:cs="Times New Roman"/>
          <w:szCs w:val="24"/>
          <w:shd w:val="clear" w:color="auto" w:fill="FFFFFF"/>
          <w:lang w:val="en-US"/>
        </w:rPr>
        <w:t xml:space="preserve"> </w:t>
      </w:r>
      <w:r w:rsidR="00F77770" w:rsidRPr="00F77770">
        <w:rPr>
          <w:rFonts w:cs="Times New Roman"/>
          <w:b/>
          <w:bCs/>
          <w:szCs w:val="24"/>
          <w:shd w:val="clear" w:color="auto" w:fill="FFFFFF"/>
          <w:lang w:val="en-US"/>
        </w:rPr>
        <w:t>Interpreting Dilthey</w:t>
      </w:r>
      <w:r w:rsidR="00F77770" w:rsidRPr="00B11E68">
        <w:rPr>
          <w:rFonts w:cs="Times New Roman"/>
          <w:szCs w:val="24"/>
          <w:shd w:val="clear" w:color="auto" w:fill="FFFFFF"/>
          <w:lang w:val="en-US"/>
        </w:rPr>
        <w:t>: Critical</w:t>
      </w:r>
      <w:r w:rsidR="00F77770">
        <w:rPr>
          <w:rFonts w:cs="Times New Roman"/>
          <w:szCs w:val="24"/>
          <w:shd w:val="clear" w:color="auto" w:fill="FFFFFF"/>
          <w:lang w:val="en-US"/>
        </w:rPr>
        <w:t xml:space="preserve"> </w:t>
      </w:r>
      <w:r w:rsidR="00F77770" w:rsidRPr="00B11E68">
        <w:rPr>
          <w:rFonts w:cs="Times New Roman"/>
          <w:szCs w:val="24"/>
          <w:shd w:val="clear" w:color="auto" w:fill="FFFFFF"/>
          <w:lang w:val="en-US"/>
        </w:rPr>
        <w:t>Essays</w:t>
      </w:r>
      <w:r w:rsidR="00F77770" w:rsidRPr="00C15D8A">
        <w:rPr>
          <w:rFonts w:cs="Times New Roman"/>
          <w:szCs w:val="24"/>
          <w:lang w:val="en-US"/>
        </w:rPr>
        <w:t xml:space="preserve"> New York: Cambridge</w:t>
      </w:r>
      <w:r w:rsidR="00F77770" w:rsidRPr="00ED76FC">
        <w:rPr>
          <w:rFonts w:cs="Times New Roman"/>
          <w:szCs w:val="24"/>
          <w:lang w:val="en-US"/>
        </w:rPr>
        <w:t xml:space="preserve"> University Press, 2019.</w:t>
      </w:r>
      <w:r w:rsidR="00F77770">
        <w:rPr>
          <w:rFonts w:cs="Times New Roman"/>
          <w:szCs w:val="24"/>
          <w:lang w:val="en-US"/>
        </w:rPr>
        <w:t xml:space="preserve"> p. 1-18.</w:t>
      </w:r>
    </w:p>
    <w:p w14:paraId="130612FF" w14:textId="77777777" w:rsidR="006077B4" w:rsidRPr="00ED76FC" w:rsidRDefault="006077B4" w:rsidP="002E62AF">
      <w:pPr>
        <w:spacing w:line="240" w:lineRule="auto"/>
        <w:ind w:firstLine="0"/>
        <w:contextualSpacing/>
        <w:mirrorIndents/>
        <w:rPr>
          <w:rFonts w:cs="Times New Roman"/>
          <w:szCs w:val="24"/>
          <w:lang w:val="en-US"/>
        </w:rPr>
      </w:pPr>
    </w:p>
    <w:p w14:paraId="0E2B8F8B" w14:textId="079E793E" w:rsidR="00E26C0C" w:rsidRDefault="00CB5573" w:rsidP="002E62AF">
      <w:pPr>
        <w:spacing w:line="240" w:lineRule="auto"/>
        <w:ind w:firstLine="0"/>
        <w:contextualSpacing/>
        <w:mirrorIndents/>
        <w:rPr>
          <w:rFonts w:cs="Times New Roman"/>
          <w:szCs w:val="24"/>
          <w:lang w:val="it-IT"/>
        </w:rPr>
      </w:pPr>
      <w:r w:rsidRPr="00ED76FC">
        <w:rPr>
          <w:rFonts w:cs="Times New Roman"/>
          <w:szCs w:val="24"/>
          <w:lang w:val="it-IT"/>
        </w:rPr>
        <w:t>MORONCINI</w:t>
      </w:r>
      <w:r w:rsidR="00E26C0C" w:rsidRPr="00ED76FC">
        <w:rPr>
          <w:rFonts w:cs="Times New Roman"/>
          <w:szCs w:val="24"/>
          <w:lang w:val="it-IT"/>
        </w:rPr>
        <w:t xml:space="preserve">, B. </w:t>
      </w:r>
      <w:r w:rsidR="00E26C0C" w:rsidRPr="00ED76FC">
        <w:rPr>
          <w:rFonts w:cs="Times New Roman"/>
          <w:i/>
          <w:iCs/>
          <w:szCs w:val="24"/>
          <w:lang w:val="it-IT"/>
        </w:rPr>
        <w:t>Walter Benjamin e la Moralità del Moderno</w:t>
      </w:r>
      <w:r w:rsidR="00E26C0C" w:rsidRPr="00ED76FC">
        <w:rPr>
          <w:rFonts w:cs="Times New Roman"/>
          <w:szCs w:val="24"/>
          <w:lang w:val="it-IT"/>
        </w:rPr>
        <w:t>. Napoli: Guida, 1984.</w:t>
      </w:r>
    </w:p>
    <w:p w14:paraId="66B5F30C" w14:textId="77777777" w:rsidR="006077B4" w:rsidRPr="00ED76FC" w:rsidRDefault="006077B4" w:rsidP="002E62AF">
      <w:pPr>
        <w:spacing w:line="240" w:lineRule="auto"/>
        <w:ind w:firstLine="0"/>
        <w:contextualSpacing/>
        <w:mirrorIndents/>
        <w:rPr>
          <w:rFonts w:cs="Times New Roman"/>
          <w:szCs w:val="24"/>
          <w:lang w:val="it-IT"/>
        </w:rPr>
      </w:pPr>
    </w:p>
    <w:p w14:paraId="15991A36" w14:textId="23A5C000" w:rsidR="009C258B" w:rsidRPr="002E62AF" w:rsidRDefault="00F77770" w:rsidP="002E62AF">
      <w:pPr>
        <w:spacing w:line="240" w:lineRule="auto"/>
        <w:ind w:firstLine="0"/>
        <w:contextualSpacing/>
        <w:mirrorIndents/>
        <w:rPr>
          <w:rFonts w:cs="Times New Roman"/>
          <w:szCs w:val="24"/>
        </w:rPr>
      </w:pPr>
      <w:r w:rsidRPr="002E62AF">
        <w:rPr>
          <w:lang w:val="en-US"/>
        </w:rPr>
        <w:t xml:space="preserve">OPITZ, M.; WIZISLA, E. </w:t>
      </w:r>
      <w:r w:rsidRPr="002E62AF">
        <w:rPr>
          <w:b/>
          <w:bCs/>
          <w:lang w:val="en-US"/>
        </w:rPr>
        <w:t>Benjamins Begriffe</w:t>
      </w:r>
      <w:r w:rsidRPr="002E62AF">
        <w:rPr>
          <w:lang w:val="en-US"/>
        </w:rPr>
        <w:t>.</w:t>
      </w:r>
      <w:r w:rsidRPr="002E62AF">
        <w:rPr>
          <w:rFonts w:cs="Times New Roman"/>
          <w:szCs w:val="24"/>
          <w:lang w:val="en-US"/>
        </w:rPr>
        <w:t xml:space="preserve"> </w:t>
      </w:r>
      <w:r w:rsidR="00795B20" w:rsidRPr="002E62AF">
        <w:rPr>
          <w:rFonts w:cs="Times New Roman"/>
          <w:szCs w:val="24"/>
        </w:rPr>
        <w:t>2 Vols. Frankfurt (M): Suhrkamp, 2000.</w:t>
      </w:r>
    </w:p>
    <w:p w14:paraId="64C5F2BF" w14:textId="77777777" w:rsidR="006077B4" w:rsidRPr="002E62AF" w:rsidRDefault="006077B4" w:rsidP="002E62AF">
      <w:pPr>
        <w:spacing w:line="240" w:lineRule="auto"/>
        <w:ind w:firstLine="0"/>
        <w:contextualSpacing/>
        <w:mirrorIndents/>
        <w:rPr>
          <w:rFonts w:cs="Times New Roman"/>
          <w:szCs w:val="24"/>
        </w:rPr>
      </w:pPr>
    </w:p>
    <w:p w14:paraId="7E257285" w14:textId="7591AEEA" w:rsidR="00847AB2" w:rsidRDefault="00CB5573" w:rsidP="002E62AF">
      <w:pPr>
        <w:spacing w:line="240" w:lineRule="auto"/>
        <w:ind w:firstLine="0"/>
        <w:contextualSpacing/>
        <w:mirrorIndents/>
        <w:rPr>
          <w:rFonts w:cs="Times New Roman"/>
          <w:szCs w:val="24"/>
          <w:lang w:val="it-IT"/>
        </w:rPr>
      </w:pPr>
      <w:r w:rsidRPr="00ED76FC">
        <w:rPr>
          <w:rFonts w:cs="Times New Roman"/>
          <w:szCs w:val="24"/>
          <w:lang w:val="it-IT"/>
        </w:rPr>
        <w:t>PELUSO</w:t>
      </w:r>
      <w:r w:rsidR="00847AB2" w:rsidRPr="00ED76FC">
        <w:rPr>
          <w:rFonts w:cs="Times New Roman"/>
          <w:szCs w:val="24"/>
          <w:lang w:val="it-IT"/>
        </w:rPr>
        <w:t xml:space="preserve">, R. </w:t>
      </w:r>
      <w:r w:rsidR="00E26C0C" w:rsidRPr="00ED76FC">
        <w:rPr>
          <w:rFonts w:cs="Times New Roman"/>
          <w:szCs w:val="24"/>
          <w:lang w:val="it-IT"/>
        </w:rPr>
        <w:t>“</w:t>
      </w:r>
      <w:r w:rsidR="00847AB2" w:rsidRPr="00ED76FC">
        <w:rPr>
          <w:rFonts w:cs="Times New Roman"/>
          <w:szCs w:val="24"/>
          <w:lang w:val="it-IT"/>
        </w:rPr>
        <w:t>Contro Il</w:t>
      </w:r>
      <w:r w:rsidR="00C24804" w:rsidRPr="00ED76FC">
        <w:rPr>
          <w:rFonts w:cs="Times New Roman"/>
          <w:szCs w:val="24"/>
          <w:lang w:val="it-IT"/>
        </w:rPr>
        <w:t xml:space="preserve"> Principio Empatia. La Critica All’Einfühlung Nella “Teoria della Conoscenza storica di Walter Benjamin</w:t>
      </w:r>
      <w:r w:rsidR="00E26C0C" w:rsidRPr="00ED76FC">
        <w:rPr>
          <w:rFonts w:cs="Times New Roman"/>
          <w:szCs w:val="24"/>
          <w:lang w:val="it-IT"/>
        </w:rPr>
        <w:t>”</w:t>
      </w:r>
      <w:r w:rsidR="00C24804" w:rsidRPr="00ED76FC">
        <w:rPr>
          <w:rFonts w:cs="Times New Roman"/>
          <w:szCs w:val="24"/>
          <w:lang w:val="it-IT"/>
        </w:rPr>
        <w:t>.</w:t>
      </w:r>
      <w:r w:rsidR="00E26C0C" w:rsidRPr="00ED76FC">
        <w:rPr>
          <w:rFonts w:cs="Times New Roman"/>
          <w:szCs w:val="24"/>
          <w:lang w:val="it-IT"/>
        </w:rPr>
        <w:t xml:space="preserve"> </w:t>
      </w:r>
      <w:r w:rsidR="00E26C0C" w:rsidRPr="00ED76FC">
        <w:rPr>
          <w:rFonts w:cs="Times New Roman"/>
          <w:i/>
          <w:iCs/>
          <w:szCs w:val="24"/>
          <w:lang w:val="it-IT"/>
        </w:rPr>
        <w:t>Bollettino Filosofico</w:t>
      </w:r>
      <w:r w:rsidR="00E26C0C" w:rsidRPr="00ED76FC">
        <w:rPr>
          <w:rFonts w:cs="Times New Roman"/>
          <w:szCs w:val="24"/>
          <w:lang w:val="it-IT"/>
        </w:rPr>
        <w:t>, n. 37, 2022.</w:t>
      </w:r>
    </w:p>
    <w:p w14:paraId="744261F1" w14:textId="77777777" w:rsidR="006077B4" w:rsidRPr="00ED76FC" w:rsidRDefault="006077B4" w:rsidP="002E62AF">
      <w:pPr>
        <w:spacing w:line="240" w:lineRule="auto"/>
        <w:ind w:firstLine="0"/>
        <w:contextualSpacing/>
        <w:mirrorIndents/>
        <w:rPr>
          <w:rFonts w:cs="Times New Roman"/>
          <w:szCs w:val="24"/>
          <w:lang w:val="it-IT"/>
        </w:rPr>
      </w:pPr>
    </w:p>
    <w:p w14:paraId="749493A2" w14:textId="1EA3B94E" w:rsidR="003218A6" w:rsidRDefault="00F77770" w:rsidP="002E62AF">
      <w:pPr>
        <w:spacing w:line="240" w:lineRule="auto"/>
        <w:ind w:firstLine="0"/>
        <w:contextualSpacing/>
        <w:mirrorIndents/>
        <w:rPr>
          <w:rFonts w:cs="Times New Roman"/>
          <w:szCs w:val="24"/>
          <w:lang w:val="it-IT"/>
        </w:rPr>
      </w:pPr>
      <w:r w:rsidRPr="00F77770">
        <w:rPr>
          <w:rFonts w:cs="Times New Roman"/>
          <w:szCs w:val="24"/>
          <w:lang w:val="it-IT"/>
        </w:rPr>
        <w:t>PLATÃO</w:t>
      </w:r>
      <w:r w:rsidR="003218A6" w:rsidRPr="00F77770">
        <w:rPr>
          <w:rFonts w:cs="Times New Roman"/>
          <w:szCs w:val="24"/>
          <w:lang w:val="it-IT"/>
        </w:rPr>
        <w:t xml:space="preserve">. </w:t>
      </w:r>
      <w:r w:rsidR="003218A6" w:rsidRPr="00F77770">
        <w:rPr>
          <w:rFonts w:cs="Times New Roman"/>
          <w:b/>
          <w:bCs/>
          <w:szCs w:val="24"/>
          <w:lang w:val="it-IT"/>
        </w:rPr>
        <w:t>Sämtliche Werke IV</w:t>
      </w:r>
      <w:r w:rsidR="003218A6" w:rsidRPr="00F77770">
        <w:rPr>
          <w:rFonts w:cs="Times New Roman"/>
          <w:szCs w:val="24"/>
          <w:lang w:val="it-IT"/>
        </w:rPr>
        <w:t>. Hamburg: Rowohlt, 1958.</w:t>
      </w:r>
    </w:p>
    <w:p w14:paraId="7052211D" w14:textId="77777777" w:rsidR="006077B4" w:rsidRPr="00ED76FC" w:rsidRDefault="006077B4" w:rsidP="002E62AF">
      <w:pPr>
        <w:spacing w:line="240" w:lineRule="auto"/>
        <w:ind w:firstLine="0"/>
        <w:contextualSpacing/>
        <w:mirrorIndents/>
        <w:rPr>
          <w:rFonts w:cs="Times New Roman"/>
          <w:szCs w:val="24"/>
          <w:lang w:val="it-IT"/>
        </w:rPr>
      </w:pPr>
    </w:p>
    <w:p w14:paraId="2EB886C3" w14:textId="49D517CD" w:rsidR="00680248" w:rsidRDefault="00CB5573" w:rsidP="002E62AF">
      <w:pPr>
        <w:spacing w:line="240" w:lineRule="auto"/>
        <w:ind w:firstLine="0"/>
        <w:contextualSpacing/>
        <w:mirrorIndents/>
        <w:rPr>
          <w:rFonts w:eastAsia="Times New Roman" w:cs="Times New Roman"/>
          <w:szCs w:val="24"/>
          <w:lang w:val="it-IT" w:eastAsia="pt-BR"/>
        </w:rPr>
      </w:pPr>
      <w:r w:rsidRPr="00ED76FC">
        <w:rPr>
          <w:rFonts w:eastAsia="Times New Roman" w:cs="Times New Roman"/>
          <w:szCs w:val="24"/>
          <w:lang w:val="it-IT" w:eastAsia="pt-BR"/>
        </w:rPr>
        <w:t>ROSENFELD</w:t>
      </w:r>
      <w:r w:rsidR="00680248" w:rsidRPr="00ED76FC">
        <w:rPr>
          <w:rFonts w:eastAsia="Times New Roman" w:cs="Times New Roman"/>
          <w:szCs w:val="24"/>
          <w:lang w:val="it-IT" w:eastAsia="pt-BR"/>
        </w:rPr>
        <w:t xml:space="preserve">, A. </w:t>
      </w:r>
      <w:r w:rsidR="00680248" w:rsidRPr="00F77770">
        <w:rPr>
          <w:rFonts w:eastAsia="Times New Roman" w:cs="Times New Roman"/>
          <w:b/>
          <w:bCs/>
          <w:szCs w:val="24"/>
          <w:lang w:val="it-IT" w:eastAsia="pt-BR"/>
        </w:rPr>
        <w:t>O Teatro Épico</w:t>
      </w:r>
      <w:r w:rsidR="00680248" w:rsidRPr="00ED76FC">
        <w:rPr>
          <w:rFonts w:eastAsia="Times New Roman" w:cs="Times New Roman"/>
          <w:szCs w:val="24"/>
          <w:lang w:val="it-IT" w:eastAsia="pt-BR"/>
        </w:rPr>
        <w:t>. São Paulo: Perspectiva, 2000.</w:t>
      </w:r>
    </w:p>
    <w:p w14:paraId="74EEEA5F" w14:textId="77777777" w:rsidR="006077B4" w:rsidRPr="00ED76FC" w:rsidRDefault="006077B4" w:rsidP="002E62AF">
      <w:pPr>
        <w:spacing w:line="240" w:lineRule="auto"/>
        <w:ind w:firstLine="0"/>
        <w:contextualSpacing/>
        <w:mirrorIndents/>
        <w:rPr>
          <w:rFonts w:eastAsia="Times New Roman" w:cs="Times New Roman"/>
          <w:szCs w:val="24"/>
          <w:lang w:val="it-IT" w:eastAsia="pt-BR"/>
        </w:rPr>
      </w:pPr>
    </w:p>
    <w:p w14:paraId="74C59949" w14:textId="3E11780C" w:rsidR="00A84372" w:rsidRDefault="00CB5573" w:rsidP="002E62AF">
      <w:pPr>
        <w:spacing w:line="240" w:lineRule="auto"/>
        <w:ind w:firstLine="0"/>
        <w:contextualSpacing/>
        <w:mirrorIndents/>
        <w:rPr>
          <w:rFonts w:eastAsia="Times New Roman" w:cs="Times New Roman"/>
          <w:szCs w:val="24"/>
          <w:lang w:val="de-DE" w:eastAsia="pt-BR"/>
        </w:rPr>
      </w:pPr>
      <w:r w:rsidRPr="00ED76FC">
        <w:rPr>
          <w:rFonts w:eastAsia="Times New Roman" w:cs="Times New Roman"/>
          <w:szCs w:val="24"/>
          <w:lang w:val="it-IT" w:eastAsia="pt-BR"/>
        </w:rPr>
        <w:lastRenderedPageBreak/>
        <w:t>SCHÖTTKER</w:t>
      </w:r>
      <w:r w:rsidR="00A84372" w:rsidRPr="00ED76FC">
        <w:rPr>
          <w:rFonts w:eastAsia="Times New Roman" w:cs="Times New Roman"/>
          <w:szCs w:val="24"/>
          <w:lang w:val="it-IT" w:eastAsia="pt-BR"/>
        </w:rPr>
        <w:t xml:space="preserve">, D. Benjamin liest Wittgenstein. </w:t>
      </w:r>
      <w:r w:rsidR="00A84372" w:rsidRPr="00ED76FC">
        <w:rPr>
          <w:rFonts w:eastAsia="Times New Roman" w:cs="Times New Roman"/>
          <w:szCs w:val="24"/>
          <w:lang w:val="de-DE" w:eastAsia="pt-BR"/>
        </w:rPr>
        <w:t>Zur sprachphiloso</w:t>
      </w:r>
      <w:r w:rsidR="00F17D57" w:rsidRPr="00ED76FC">
        <w:rPr>
          <w:rFonts w:eastAsia="Times New Roman" w:cs="Times New Roman"/>
          <w:szCs w:val="24"/>
          <w:lang w:val="de-DE" w:eastAsia="pt-BR"/>
        </w:rPr>
        <w:t>ph</w:t>
      </w:r>
      <w:r w:rsidR="00A84372" w:rsidRPr="00ED76FC">
        <w:rPr>
          <w:rFonts w:eastAsia="Times New Roman" w:cs="Times New Roman"/>
          <w:szCs w:val="24"/>
          <w:lang w:val="de-DE" w:eastAsia="pt-BR"/>
        </w:rPr>
        <w:t>ische</w:t>
      </w:r>
      <w:r w:rsidR="00F17D57" w:rsidRPr="00ED76FC">
        <w:rPr>
          <w:rFonts w:eastAsia="Times New Roman" w:cs="Times New Roman"/>
          <w:szCs w:val="24"/>
          <w:lang w:val="de-DE" w:eastAsia="pt-BR"/>
        </w:rPr>
        <w:t>n</w:t>
      </w:r>
      <w:r w:rsidR="00A84372" w:rsidRPr="00ED76FC">
        <w:rPr>
          <w:rFonts w:eastAsia="Times New Roman" w:cs="Times New Roman"/>
          <w:szCs w:val="24"/>
          <w:lang w:val="de-DE" w:eastAsia="pt-BR"/>
        </w:rPr>
        <w:t xml:space="preserve"> Vorgeschichte des Positivismusstreit</w:t>
      </w:r>
      <w:r w:rsidR="00F17D57" w:rsidRPr="00ED76FC">
        <w:rPr>
          <w:rFonts w:eastAsia="Times New Roman" w:cs="Times New Roman"/>
          <w:szCs w:val="24"/>
          <w:lang w:val="de-DE" w:eastAsia="pt-BR"/>
        </w:rPr>
        <w:t>.</w:t>
      </w:r>
      <w:r w:rsidR="00A84372" w:rsidRPr="00ED76FC">
        <w:rPr>
          <w:rFonts w:eastAsia="Times New Roman" w:cs="Times New Roman"/>
          <w:szCs w:val="24"/>
          <w:lang w:val="de-DE" w:eastAsia="pt-BR"/>
        </w:rPr>
        <w:t xml:space="preserve"> </w:t>
      </w:r>
      <w:r w:rsidR="00A84372" w:rsidRPr="00F77770">
        <w:rPr>
          <w:rFonts w:eastAsia="Times New Roman" w:cs="Times New Roman"/>
          <w:b/>
          <w:bCs/>
          <w:szCs w:val="24"/>
          <w:lang w:val="de-DE" w:eastAsia="pt-BR"/>
        </w:rPr>
        <w:t>Benjamin-Studien</w:t>
      </w:r>
      <w:r w:rsidR="00F17D57" w:rsidRPr="00ED76FC">
        <w:rPr>
          <w:rFonts w:eastAsia="Times New Roman" w:cs="Times New Roman"/>
          <w:szCs w:val="24"/>
          <w:lang w:val="de-DE" w:eastAsia="pt-BR"/>
        </w:rPr>
        <w:t xml:space="preserve">, </w:t>
      </w:r>
      <w:r w:rsidR="00F77770">
        <w:rPr>
          <w:rFonts w:eastAsia="Times New Roman" w:cs="Times New Roman"/>
          <w:szCs w:val="24"/>
          <w:lang w:val="de-DE" w:eastAsia="pt-BR"/>
        </w:rPr>
        <w:t xml:space="preserve">v. </w:t>
      </w:r>
      <w:r w:rsidR="00F17D57" w:rsidRPr="00ED76FC">
        <w:rPr>
          <w:rFonts w:eastAsia="Times New Roman" w:cs="Times New Roman"/>
          <w:szCs w:val="24"/>
          <w:lang w:val="de-DE" w:eastAsia="pt-BR"/>
        </w:rPr>
        <w:t>1</w:t>
      </w:r>
      <w:r w:rsidR="00F77770">
        <w:rPr>
          <w:rFonts w:eastAsia="Times New Roman" w:cs="Times New Roman"/>
          <w:szCs w:val="24"/>
          <w:lang w:val="de-DE" w:eastAsia="pt-BR"/>
        </w:rPr>
        <w:t>, p.</w:t>
      </w:r>
      <w:r w:rsidR="00F17D57" w:rsidRPr="00ED76FC">
        <w:rPr>
          <w:rFonts w:eastAsia="Times New Roman" w:cs="Times New Roman"/>
          <w:szCs w:val="24"/>
          <w:lang w:val="de-DE" w:eastAsia="pt-BR"/>
        </w:rPr>
        <w:t xml:space="preserve"> 91-105, 2008.</w:t>
      </w:r>
    </w:p>
    <w:p w14:paraId="48525889" w14:textId="77777777" w:rsidR="006077B4" w:rsidRPr="00ED76FC" w:rsidRDefault="006077B4" w:rsidP="002E62AF">
      <w:pPr>
        <w:spacing w:line="240" w:lineRule="auto"/>
        <w:ind w:firstLine="0"/>
        <w:contextualSpacing/>
        <w:mirrorIndents/>
        <w:rPr>
          <w:rFonts w:eastAsia="Times New Roman" w:cs="Times New Roman"/>
          <w:szCs w:val="24"/>
          <w:lang w:val="de-DE" w:eastAsia="pt-BR"/>
        </w:rPr>
      </w:pPr>
    </w:p>
    <w:p w14:paraId="6ABB5AD1" w14:textId="0B8376C6" w:rsidR="00F77770" w:rsidRDefault="00CB5573" w:rsidP="002E62AF">
      <w:pPr>
        <w:spacing w:line="240" w:lineRule="auto"/>
        <w:ind w:firstLine="0"/>
        <w:contextualSpacing/>
        <w:mirrorIndents/>
        <w:rPr>
          <w:rFonts w:cs="Times New Roman"/>
          <w:szCs w:val="24"/>
          <w:lang w:val="de-DE"/>
        </w:rPr>
      </w:pPr>
      <w:r w:rsidRPr="00795B20">
        <w:rPr>
          <w:rFonts w:eastAsia="Times New Roman" w:cs="Times New Roman"/>
          <w:szCs w:val="24"/>
          <w:lang w:val="de-DE" w:eastAsia="pt-BR"/>
        </w:rPr>
        <w:t>WEBER</w:t>
      </w:r>
      <w:r w:rsidR="009C258B" w:rsidRPr="00795B20">
        <w:rPr>
          <w:rFonts w:eastAsia="Times New Roman" w:cs="Times New Roman"/>
          <w:szCs w:val="24"/>
          <w:lang w:val="de-DE" w:eastAsia="pt-BR"/>
        </w:rPr>
        <w:t>, T. Erfahrung</w:t>
      </w:r>
      <w:r w:rsidR="00F77770">
        <w:rPr>
          <w:rFonts w:eastAsia="Times New Roman" w:cs="Times New Roman"/>
          <w:szCs w:val="24"/>
          <w:lang w:val="de-DE" w:eastAsia="pt-BR"/>
        </w:rPr>
        <w:t>.</w:t>
      </w:r>
      <w:r w:rsidR="009C258B" w:rsidRPr="00795B20">
        <w:rPr>
          <w:rFonts w:eastAsia="Times New Roman" w:cs="Times New Roman"/>
          <w:szCs w:val="24"/>
          <w:lang w:val="de-DE" w:eastAsia="pt-BR"/>
        </w:rPr>
        <w:t xml:space="preserve"> </w:t>
      </w:r>
      <w:r w:rsidR="00F77770">
        <w:rPr>
          <w:rFonts w:eastAsia="Times New Roman" w:cs="Times New Roman"/>
          <w:i/>
          <w:iCs/>
          <w:szCs w:val="24"/>
          <w:lang w:val="de-DE" w:eastAsia="pt-BR"/>
        </w:rPr>
        <w:t>In</w:t>
      </w:r>
      <w:r w:rsidR="00F77770">
        <w:rPr>
          <w:rFonts w:eastAsia="Times New Roman" w:cs="Times New Roman"/>
          <w:szCs w:val="24"/>
          <w:lang w:val="de-DE" w:eastAsia="pt-BR"/>
        </w:rPr>
        <w:t>:</w:t>
      </w:r>
      <w:r w:rsidR="009C258B" w:rsidRPr="00795B20">
        <w:rPr>
          <w:rFonts w:eastAsia="Times New Roman" w:cs="Times New Roman"/>
          <w:szCs w:val="24"/>
          <w:lang w:val="de-DE" w:eastAsia="pt-BR"/>
        </w:rPr>
        <w:t xml:space="preserve"> </w:t>
      </w:r>
      <w:r w:rsidR="00F77770" w:rsidRPr="002E62AF">
        <w:rPr>
          <w:lang w:val="de-DE"/>
        </w:rPr>
        <w:t xml:space="preserve">OPITZ, M.; WIZISLA, E. </w:t>
      </w:r>
      <w:r w:rsidR="00F77770" w:rsidRPr="002E62AF">
        <w:rPr>
          <w:b/>
          <w:bCs/>
          <w:lang w:val="de-DE"/>
        </w:rPr>
        <w:t>Benjamins Begriffe</w:t>
      </w:r>
      <w:r w:rsidR="00F77770" w:rsidRPr="002E62AF">
        <w:rPr>
          <w:lang w:val="de-DE"/>
        </w:rPr>
        <w:t>.</w:t>
      </w:r>
      <w:r w:rsidR="00F77770" w:rsidRPr="00F77770">
        <w:rPr>
          <w:rFonts w:cs="Times New Roman"/>
          <w:szCs w:val="24"/>
          <w:lang w:val="de-DE"/>
        </w:rPr>
        <w:t xml:space="preserve"> 2 Vols. Frankfurt (M): Suhrkamp, 2000.</w:t>
      </w:r>
    </w:p>
    <w:p w14:paraId="23D9C369" w14:textId="77777777" w:rsidR="006077B4" w:rsidRPr="00795B20" w:rsidRDefault="006077B4" w:rsidP="002E62AF">
      <w:pPr>
        <w:spacing w:line="240" w:lineRule="auto"/>
        <w:ind w:firstLine="0"/>
        <w:contextualSpacing/>
        <w:mirrorIndents/>
        <w:rPr>
          <w:rFonts w:eastAsia="Times New Roman" w:cs="Times New Roman"/>
          <w:szCs w:val="24"/>
          <w:lang w:val="de-DE" w:eastAsia="pt-BR"/>
        </w:rPr>
      </w:pPr>
    </w:p>
    <w:p w14:paraId="7B64865C" w14:textId="47672FA2" w:rsidR="00680248" w:rsidRPr="001F18DD" w:rsidRDefault="00CB5573" w:rsidP="002E62AF">
      <w:pPr>
        <w:spacing w:line="240" w:lineRule="auto"/>
        <w:ind w:firstLine="0"/>
        <w:contextualSpacing/>
        <w:mirrorIndents/>
        <w:rPr>
          <w:rFonts w:eastAsia="Times New Roman" w:cs="Times New Roman"/>
          <w:szCs w:val="24"/>
          <w:lang w:val="de-DE" w:eastAsia="pt-BR"/>
        </w:rPr>
      </w:pPr>
      <w:r w:rsidRPr="00ED76FC">
        <w:rPr>
          <w:rFonts w:eastAsia="Times New Roman" w:cs="Times New Roman"/>
          <w:szCs w:val="24"/>
          <w:lang w:val="de-DE" w:eastAsia="pt-BR"/>
        </w:rPr>
        <w:t>WIZISLA</w:t>
      </w:r>
      <w:r w:rsidR="009C258B" w:rsidRPr="00ED76FC">
        <w:rPr>
          <w:rFonts w:eastAsia="Times New Roman" w:cs="Times New Roman"/>
          <w:szCs w:val="24"/>
          <w:lang w:val="de-DE" w:eastAsia="pt-BR"/>
        </w:rPr>
        <w:t>,</w:t>
      </w:r>
      <w:r w:rsidR="00680248" w:rsidRPr="00ED76FC">
        <w:rPr>
          <w:rFonts w:eastAsia="Times New Roman" w:cs="Times New Roman"/>
          <w:szCs w:val="24"/>
          <w:lang w:val="de-DE" w:eastAsia="pt-BR"/>
        </w:rPr>
        <w:t xml:space="preserve"> E. </w:t>
      </w:r>
      <w:r w:rsidR="00680248" w:rsidRPr="00F77770">
        <w:rPr>
          <w:rFonts w:eastAsia="Times New Roman" w:cs="Times New Roman"/>
          <w:b/>
          <w:bCs/>
          <w:szCs w:val="24"/>
          <w:lang w:val="de-DE" w:eastAsia="pt-BR"/>
        </w:rPr>
        <w:t>Benjamin und Brecht. Die Geschichte einer Freundschaft</w:t>
      </w:r>
      <w:r w:rsidR="00680248" w:rsidRPr="00ED76FC">
        <w:rPr>
          <w:rFonts w:eastAsia="Times New Roman" w:cs="Times New Roman"/>
          <w:szCs w:val="24"/>
          <w:lang w:val="de-DE" w:eastAsia="pt-BR"/>
        </w:rPr>
        <w:t xml:space="preserve">. </w:t>
      </w:r>
      <w:r w:rsidR="00F77770" w:rsidRPr="00F77770">
        <w:rPr>
          <w:rFonts w:cs="Times New Roman"/>
          <w:szCs w:val="24"/>
          <w:lang w:val="de-DE"/>
        </w:rPr>
        <w:t>Frankfurt (M): Suhrkamp</w:t>
      </w:r>
      <w:r w:rsidR="00680248" w:rsidRPr="00ED76FC">
        <w:rPr>
          <w:rFonts w:eastAsia="Times New Roman" w:cs="Times New Roman"/>
          <w:szCs w:val="24"/>
          <w:lang w:val="de-DE" w:eastAsia="pt-BR"/>
        </w:rPr>
        <w:t>, 2004.</w:t>
      </w:r>
    </w:p>
    <w:sectPr w:rsidR="00680248" w:rsidRPr="001F18DD" w:rsidSect="00B41CC5">
      <w:headerReference w:type="default" r:id="rId10"/>
      <w:footerReference w:type="default" r:id="rId11"/>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BB78A" w14:textId="77777777" w:rsidR="008002CF" w:rsidRPr="009C258B" w:rsidRDefault="008002CF" w:rsidP="00F93DBB">
      <w:pPr>
        <w:spacing w:line="240" w:lineRule="auto"/>
      </w:pPr>
      <w:r w:rsidRPr="009C258B">
        <w:separator/>
      </w:r>
    </w:p>
  </w:endnote>
  <w:endnote w:type="continuationSeparator" w:id="0">
    <w:p w14:paraId="7A896C38" w14:textId="77777777" w:rsidR="008002CF" w:rsidRPr="009C258B" w:rsidRDefault="008002CF" w:rsidP="00F93DBB">
      <w:pPr>
        <w:spacing w:line="240" w:lineRule="auto"/>
      </w:pPr>
      <w:r w:rsidRPr="009C25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600AD" w14:textId="4C34C7A8" w:rsidR="00B92D01" w:rsidRDefault="00B92D01" w:rsidP="00B92D01">
    <w:pPr>
      <w:pStyle w:val="Rodap"/>
      <w:ind w:firstLine="0"/>
      <w:rPr>
        <w:sz w:val="20"/>
        <w:szCs w:val="20"/>
      </w:rPr>
    </w:pPr>
    <w:r>
      <w:rPr>
        <w:sz w:val="20"/>
        <w:szCs w:val="20"/>
      </w:rPr>
      <w:t>*</w:t>
    </w:r>
    <w:r w:rsidRPr="00B2452A">
      <w:rPr>
        <w:sz w:val="20"/>
        <w:szCs w:val="20"/>
      </w:rPr>
      <w:t xml:space="preserve"> </w:t>
    </w:r>
    <w:r>
      <w:rPr>
        <w:sz w:val="20"/>
        <w:szCs w:val="20"/>
      </w:rPr>
      <w:t xml:space="preserve">Artigo recebido em </w:t>
    </w:r>
    <w:r w:rsidR="002E62AF">
      <w:rPr>
        <w:sz w:val="20"/>
        <w:szCs w:val="20"/>
      </w:rPr>
      <w:t>0</w:t>
    </w:r>
    <w:r w:rsidR="001641D3">
      <w:rPr>
        <w:sz w:val="20"/>
        <w:szCs w:val="20"/>
      </w:rPr>
      <w:t>1/0</w:t>
    </w:r>
    <w:r w:rsidR="002E62AF">
      <w:rPr>
        <w:sz w:val="20"/>
        <w:szCs w:val="20"/>
      </w:rPr>
      <w:t>6</w:t>
    </w:r>
    <w:r w:rsidR="001641D3">
      <w:rPr>
        <w:sz w:val="20"/>
        <w:szCs w:val="20"/>
      </w:rPr>
      <w:t>/2026</w:t>
    </w:r>
    <w:r>
      <w:rPr>
        <w:sz w:val="20"/>
        <w:szCs w:val="20"/>
      </w:rPr>
      <w:t xml:space="preserve">. Aprovado em </w:t>
    </w:r>
    <w:r w:rsidR="001641D3">
      <w:rPr>
        <w:sz w:val="20"/>
        <w:szCs w:val="20"/>
      </w:rPr>
      <w:t>14/10/2026</w:t>
    </w:r>
    <w:r>
      <w:rPr>
        <w:sz w:val="20"/>
        <w:szCs w:val="20"/>
      </w:rPr>
      <w:t>.</w:t>
    </w:r>
  </w:p>
  <w:p w14:paraId="5E74D4B2" w14:textId="06DF1C4C" w:rsidR="00B92D01" w:rsidRPr="00EC230E" w:rsidRDefault="00B92D01" w:rsidP="00B92D01">
    <w:pPr>
      <w:pStyle w:val="Rodap"/>
      <w:ind w:firstLine="0"/>
      <w:rPr>
        <w:sz w:val="20"/>
        <w:szCs w:val="20"/>
      </w:rPr>
    </w:pPr>
    <w:r>
      <w:rPr>
        <w:sz w:val="20"/>
        <w:szCs w:val="20"/>
      </w:rPr>
      <w:t>**</w:t>
    </w:r>
    <w:r w:rsidRPr="00721B19">
      <w:t xml:space="preserve"> </w:t>
    </w:r>
    <w:r w:rsidR="00DE2E86" w:rsidRPr="00DE2E86">
      <w:rPr>
        <w:sz w:val="20"/>
        <w:szCs w:val="20"/>
      </w:rPr>
      <w:t>Professor Titular no Dep</w:t>
    </w:r>
    <w:r w:rsidR="00DE2E86">
      <w:rPr>
        <w:sz w:val="20"/>
        <w:szCs w:val="20"/>
      </w:rPr>
      <w:t>artamento</w:t>
    </w:r>
    <w:r w:rsidR="00DE2E86" w:rsidRPr="00DE2E86">
      <w:rPr>
        <w:sz w:val="20"/>
        <w:szCs w:val="20"/>
      </w:rPr>
      <w:t xml:space="preserve"> de Filosofia da Universidade Federal de Ouro Preto</w:t>
    </w:r>
    <w:r>
      <w:rPr>
        <w:sz w:val="20"/>
        <w:szCs w:val="20"/>
      </w:rPr>
      <w:t>.</w:t>
    </w:r>
  </w:p>
  <w:p w14:paraId="4310A76D" w14:textId="77777777" w:rsidR="00B92D01" w:rsidRPr="00EC230E" w:rsidRDefault="00B92D01" w:rsidP="00B92D01">
    <w:pPr>
      <w:pStyle w:val="Rodap"/>
      <w:ind w:firstLine="0"/>
      <w:rPr>
        <w:sz w:val="20"/>
        <w:szCs w:val="20"/>
      </w:rPr>
    </w:pPr>
  </w:p>
  <w:p w14:paraId="70F3D69D" w14:textId="77777777" w:rsidR="00B92D01" w:rsidRPr="00EC230E" w:rsidRDefault="00B92D01" w:rsidP="00B92D01">
    <w:pPr>
      <w:pStyle w:val="Rodap"/>
      <w:ind w:firstLine="0"/>
      <w:rPr>
        <w:sz w:val="20"/>
        <w:szCs w:val="20"/>
      </w:rPr>
    </w:pPr>
    <w:r w:rsidRPr="000477E7">
      <w:rPr>
        <w:sz w:val="20"/>
        <w:szCs w:val="20"/>
      </w:rPr>
      <w:t>ARTEFILOSOFIA, N.</w:t>
    </w:r>
    <w:r>
      <w:rPr>
        <w:sz w:val="20"/>
        <w:szCs w:val="20"/>
      </w:rPr>
      <w:t>39</w:t>
    </w:r>
    <w:r w:rsidRPr="000477E7">
      <w:rPr>
        <w:sz w:val="20"/>
        <w:szCs w:val="20"/>
      </w:rPr>
      <w:t>, 202</w:t>
    </w:r>
    <w:r>
      <w:rPr>
        <w:sz w:val="20"/>
        <w:szCs w:val="20"/>
      </w:rPr>
      <w:t xml:space="preserve">6/1                                                                      </w:t>
    </w:r>
    <w:r w:rsidRPr="000477E7">
      <w:rPr>
        <w:sz w:val="20"/>
        <w:szCs w:val="20"/>
      </w:rPr>
      <w:t>https://periodicos.ufop.br/raf</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168766"/>
      <w:docPartObj>
        <w:docPartGallery w:val="Page Numbers (Bottom of Page)"/>
        <w:docPartUnique/>
      </w:docPartObj>
    </w:sdtPr>
    <w:sdtContent>
      <w:bookmarkStart w:id="14" w:name="_Hlk184985371" w:displacedByCustomXml="prev"/>
      <w:bookmarkStart w:id="15" w:name="_Hlk184985372" w:displacedByCustomXml="prev"/>
      <w:p w14:paraId="59B9D06E" w14:textId="418394C9" w:rsidR="00B159CA" w:rsidRPr="00EC230E" w:rsidRDefault="00B159CA" w:rsidP="00B159CA">
        <w:pPr>
          <w:pStyle w:val="Rodap"/>
          <w:ind w:firstLine="0"/>
          <w:rPr>
            <w:sz w:val="20"/>
            <w:szCs w:val="20"/>
          </w:rPr>
        </w:pPr>
        <w:r w:rsidRPr="000477E7">
          <w:rPr>
            <w:sz w:val="20"/>
            <w:szCs w:val="20"/>
          </w:rPr>
          <w:t>ARTEFILOSOFIA, N.</w:t>
        </w:r>
        <w:r>
          <w:rPr>
            <w:sz w:val="20"/>
            <w:szCs w:val="20"/>
          </w:rPr>
          <w:t>39</w:t>
        </w:r>
        <w:r w:rsidRPr="000477E7">
          <w:rPr>
            <w:sz w:val="20"/>
            <w:szCs w:val="20"/>
          </w:rPr>
          <w:t>, 202</w:t>
        </w:r>
        <w:r>
          <w:rPr>
            <w:sz w:val="20"/>
            <w:szCs w:val="20"/>
          </w:rPr>
          <w:t xml:space="preserve">6/1                                                                      </w:t>
        </w:r>
        <w:r w:rsidRPr="000477E7">
          <w:rPr>
            <w:sz w:val="20"/>
            <w:szCs w:val="20"/>
          </w:rPr>
          <w:t>https://periodicos.ufop.br/raf</w:t>
        </w:r>
        <w:bookmarkEnd w:id="15"/>
        <w:bookmarkEnd w:id="14"/>
      </w:p>
      <w:p w14:paraId="2C268E7A" w14:textId="421E8723" w:rsidR="00B159CA" w:rsidRDefault="00B159CA" w:rsidP="00B159CA">
        <w:pPr>
          <w:pStyle w:val="Rodap"/>
          <w:ind w:firstLine="0"/>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C1707" w14:textId="77777777" w:rsidR="008002CF" w:rsidRPr="009C258B" w:rsidRDefault="008002CF" w:rsidP="005F3E65">
      <w:pPr>
        <w:spacing w:line="240" w:lineRule="auto"/>
        <w:ind w:firstLine="0"/>
      </w:pPr>
      <w:r w:rsidRPr="009C258B">
        <w:separator/>
      </w:r>
    </w:p>
  </w:footnote>
  <w:footnote w:type="continuationSeparator" w:id="0">
    <w:p w14:paraId="1A69F61D" w14:textId="77777777" w:rsidR="008002CF" w:rsidRPr="009C258B" w:rsidRDefault="008002CF" w:rsidP="005F3E65">
      <w:pPr>
        <w:spacing w:line="240" w:lineRule="auto"/>
        <w:ind w:firstLine="0"/>
      </w:pPr>
      <w:r w:rsidRPr="009C258B">
        <w:continuationSeparator/>
      </w:r>
    </w:p>
  </w:footnote>
  <w:footnote w:type="continuationNotice" w:id="1">
    <w:p w14:paraId="790D8FD0" w14:textId="77777777" w:rsidR="008002CF" w:rsidRDefault="008002CF">
      <w:pPr>
        <w:spacing w:line="240" w:lineRule="auto"/>
      </w:pPr>
    </w:p>
  </w:footnote>
  <w:footnote w:id="2">
    <w:p w14:paraId="0F1695F7" w14:textId="2A803FF4" w:rsidR="004D21AD" w:rsidRPr="00CB5573" w:rsidRDefault="004D21AD" w:rsidP="00CB5573">
      <w:pPr>
        <w:pStyle w:val="Textodenotaderodap"/>
        <w:rPr>
          <w:rFonts w:cs="Times New Roman"/>
        </w:rPr>
      </w:pPr>
      <w:r w:rsidRPr="00CB5573">
        <w:rPr>
          <w:rStyle w:val="Refdenotaderodap"/>
          <w:rFonts w:cs="Times New Roman"/>
        </w:rPr>
        <w:footnoteRef/>
      </w:r>
      <w:r w:rsidRPr="00CB5573">
        <w:rPr>
          <w:rFonts w:cs="Times New Roman"/>
        </w:rPr>
        <w:t xml:space="preserve"> Cf. </w:t>
      </w:r>
      <w:proofErr w:type="spellStart"/>
      <w:r w:rsidRPr="00CB5573">
        <w:rPr>
          <w:rFonts w:cs="Times New Roman"/>
        </w:rPr>
        <w:t>Gagnebin</w:t>
      </w:r>
      <w:proofErr w:type="spellEnd"/>
      <w:r w:rsidRPr="00CB5573">
        <w:rPr>
          <w:rFonts w:cs="Times New Roman"/>
        </w:rPr>
        <w:t>, 201</w:t>
      </w:r>
      <w:r w:rsidR="000B7E29" w:rsidRPr="00CB5573">
        <w:rPr>
          <w:rFonts w:cs="Times New Roman"/>
        </w:rPr>
        <w:t xml:space="preserve">4, </w:t>
      </w:r>
      <w:r w:rsidR="009C2890">
        <w:rPr>
          <w:rFonts w:cs="Times New Roman"/>
        </w:rPr>
        <w:t>p</w:t>
      </w:r>
      <w:r w:rsidR="000B7E29" w:rsidRPr="00CB5573">
        <w:rPr>
          <w:rFonts w:cs="Times New Roman"/>
        </w:rPr>
        <w:t>. 75-95.</w:t>
      </w:r>
    </w:p>
  </w:footnote>
  <w:footnote w:id="3">
    <w:p w14:paraId="7B75BC5E" w14:textId="77777777" w:rsidR="008A0C5C" w:rsidRPr="00CB5573" w:rsidRDefault="008A0C5C" w:rsidP="00CB5573">
      <w:pPr>
        <w:pStyle w:val="Textodenotaderodap"/>
        <w:rPr>
          <w:rFonts w:cs="Times New Roman"/>
        </w:rPr>
      </w:pPr>
      <w:r w:rsidRPr="00CB5573">
        <w:rPr>
          <w:rStyle w:val="Refdenotaderodap"/>
          <w:rFonts w:cs="Times New Roman"/>
        </w:rPr>
        <w:footnoteRef/>
      </w:r>
      <w:r w:rsidRPr="00CB5573">
        <w:rPr>
          <w:rFonts w:cs="Times New Roman"/>
        </w:rPr>
        <w:t xml:space="preserve"> “Identificação afetiva” é outra tradução possível para </w:t>
      </w:r>
      <w:proofErr w:type="spellStart"/>
      <w:r w:rsidRPr="00CB5573">
        <w:rPr>
          <w:rFonts w:cs="Times New Roman"/>
          <w:i/>
          <w:iCs/>
        </w:rPr>
        <w:t>Einfühlung</w:t>
      </w:r>
      <w:proofErr w:type="spellEnd"/>
      <w:r w:rsidRPr="00CB5573">
        <w:rPr>
          <w:rFonts w:cs="Times New Roman"/>
        </w:rPr>
        <w:t>. É, aliás, a tradução escolhida pelo próprio Benjamin (“</w:t>
      </w:r>
      <w:proofErr w:type="spellStart"/>
      <w:r w:rsidRPr="00CB5573">
        <w:rPr>
          <w:rFonts w:cs="Times New Roman"/>
        </w:rPr>
        <w:t>identification</w:t>
      </w:r>
      <w:proofErr w:type="spellEnd"/>
      <w:r w:rsidRPr="00CB5573">
        <w:rPr>
          <w:rFonts w:cs="Times New Roman"/>
        </w:rPr>
        <w:t xml:space="preserve"> </w:t>
      </w:r>
      <w:proofErr w:type="spellStart"/>
      <w:r w:rsidRPr="00CB5573">
        <w:rPr>
          <w:rFonts w:cs="Times New Roman"/>
        </w:rPr>
        <w:t>affective</w:t>
      </w:r>
      <w:proofErr w:type="spellEnd"/>
      <w:r w:rsidRPr="00CB5573">
        <w:rPr>
          <w:rFonts w:cs="Times New Roman"/>
        </w:rPr>
        <w:t>”) quando fez uma versão das Teses para o francês (cf. Benjamin, 1991a, p. 1262).</w:t>
      </w:r>
    </w:p>
  </w:footnote>
  <w:footnote w:id="4">
    <w:p w14:paraId="438A49C9" w14:textId="60597579" w:rsidR="004D21AD" w:rsidRPr="00CB5573" w:rsidRDefault="004D21AD" w:rsidP="00CB5573">
      <w:pPr>
        <w:pStyle w:val="Textodenotaderodap"/>
        <w:rPr>
          <w:rFonts w:cs="Times New Roman"/>
        </w:rPr>
      </w:pPr>
      <w:r w:rsidRPr="00CB5573">
        <w:rPr>
          <w:rStyle w:val="Refdenotaderodap"/>
          <w:rFonts w:cs="Times New Roman"/>
        </w:rPr>
        <w:footnoteRef/>
      </w:r>
      <w:r w:rsidRPr="00CB5573">
        <w:rPr>
          <w:rFonts w:cs="Times New Roman"/>
        </w:rPr>
        <w:t xml:space="preserve"> Cf. </w:t>
      </w:r>
      <w:proofErr w:type="spellStart"/>
      <w:r w:rsidRPr="00CB5573">
        <w:rPr>
          <w:rFonts w:cs="Times New Roman"/>
        </w:rPr>
        <w:t>Ga</w:t>
      </w:r>
      <w:r w:rsidR="000B7E29" w:rsidRPr="00CB5573">
        <w:rPr>
          <w:rFonts w:cs="Times New Roman"/>
        </w:rPr>
        <w:t>gnebin</w:t>
      </w:r>
      <w:proofErr w:type="spellEnd"/>
      <w:r w:rsidR="000B7E29" w:rsidRPr="00CB5573">
        <w:rPr>
          <w:rFonts w:cs="Times New Roman"/>
        </w:rPr>
        <w:t xml:space="preserve">, 2014, </w:t>
      </w:r>
      <w:r w:rsidR="009C2890">
        <w:rPr>
          <w:rFonts w:cs="Times New Roman"/>
        </w:rPr>
        <w:t>p</w:t>
      </w:r>
      <w:r w:rsidR="000B7E29" w:rsidRPr="00CB5573">
        <w:rPr>
          <w:rFonts w:cs="Times New Roman"/>
        </w:rPr>
        <w:t>. 141-154.</w:t>
      </w:r>
    </w:p>
  </w:footnote>
  <w:footnote w:id="5">
    <w:p w14:paraId="36BD3D84" w14:textId="7F99DB11" w:rsidR="005F3E65" w:rsidRPr="00CB5573" w:rsidRDefault="002143E7" w:rsidP="00CB5573">
      <w:pPr>
        <w:pStyle w:val="Textodenotaderodap"/>
        <w:rPr>
          <w:rFonts w:cs="Times New Roman"/>
        </w:rPr>
      </w:pPr>
      <w:r w:rsidRPr="00CB5573">
        <w:rPr>
          <w:rStyle w:val="Refdenotaderodap"/>
          <w:rFonts w:cs="Times New Roman"/>
        </w:rPr>
        <w:footnoteRef/>
      </w:r>
      <w:r w:rsidRPr="00CB5573">
        <w:rPr>
          <w:rFonts w:cs="Times New Roman"/>
        </w:rPr>
        <w:t xml:space="preserve"> </w:t>
      </w:r>
      <w:r w:rsidR="00C179DE" w:rsidRPr="00CB5573">
        <w:rPr>
          <w:rFonts w:cs="Times New Roman"/>
        </w:rPr>
        <w:t xml:space="preserve">O tema é tratado </w:t>
      </w:r>
      <w:r w:rsidR="00D46FFD" w:rsidRPr="00CB5573">
        <w:rPr>
          <w:rFonts w:cs="Times New Roman"/>
        </w:rPr>
        <w:t xml:space="preserve">por </w:t>
      </w:r>
      <w:proofErr w:type="spellStart"/>
      <w:r w:rsidR="00C179DE" w:rsidRPr="00CB5573">
        <w:rPr>
          <w:rFonts w:cs="Times New Roman"/>
        </w:rPr>
        <w:t>Mor</w:t>
      </w:r>
      <w:r w:rsidR="00E26C0C" w:rsidRPr="00CB5573">
        <w:rPr>
          <w:rFonts w:cs="Times New Roman"/>
        </w:rPr>
        <w:t>o</w:t>
      </w:r>
      <w:r w:rsidR="00C179DE" w:rsidRPr="00CB5573">
        <w:rPr>
          <w:rFonts w:cs="Times New Roman"/>
        </w:rPr>
        <w:t>ncini</w:t>
      </w:r>
      <w:proofErr w:type="spellEnd"/>
      <w:r w:rsidR="00C179DE" w:rsidRPr="00CB5573">
        <w:rPr>
          <w:rFonts w:cs="Times New Roman"/>
        </w:rPr>
        <w:t xml:space="preserve"> (1984, </w:t>
      </w:r>
      <w:r w:rsidR="009C2890">
        <w:rPr>
          <w:rFonts w:cs="Times New Roman"/>
        </w:rPr>
        <w:t>p</w:t>
      </w:r>
      <w:r w:rsidR="00C179DE" w:rsidRPr="00CB5573">
        <w:rPr>
          <w:rFonts w:cs="Times New Roman"/>
        </w:rPr>
        <w:t>. 57-78</w:t>
      </w:r>
      <w:r w:rsidR="00F153CD" w:rsidRPr="00CB5573">
        <w:rPr>
          <w:rFonts w:cs="Times New Roman"/>
        </w:rPr>
        <w:t xml:space="preserve">, </w:t>
      </w:r>
      <w:r w:rsidR="009C2890">
        <w:rPr>
          <w:rFonts w:cs="Times New Roman"/>
        </w:rPr>
        <w:t>p</w:t>
      </w:r>
      <w:r w:rsidR="00F153CD" w:rsidRPr="00CB5573">
        <w:rPr>
          <w:rFonts w:cs="Times New Roman"/>
        </w:rPr>
        <w:t>. 93-104</w:t>
      </w:r>
      <w:r w:rsidR="00C179DE" w:rsidRPr="00CB5573">
        <w:rPr>
          <w:rFonts w:cs="Times New Roman"/>
        </w:rPr>
        <w:t>)</w:t>
      </w:r>
      <w:r w:rsidR="00335EE0" w:rsidRPr="00CB5573">
        <w:rPr>
          <w:rFonts w:cs="Times New Roman"/>
        </w:rPr>
        <w:t xml:space="preserve"> e</w:t>
      </w:r>
      <w:r w:rsidR="00643846" w:rsidRPr="00CB5573">
        <w:rPr>
          <w:rFonts w:cs="Times New Roman"/>
        </w:rPr>
        <w:t xml:space="preserve"> Freitas (2006</w:t>
      </w:r>
      <w:r w:rsidR="00335EE0" w:rsidRPr="00CB5573">
        <w:rPr>
          <w:rFonts w:cs="Times New Roman"/>
        </w:rPr>
        <w:t>, p. 99-101</w:t>
      </w:r>
      <w:r w:rsidR="00643846" w:rsidRPr="00CB5573">
        <w:rPr>
          <w:rFonts w:cs="Times New Roman"/>
        </w:rPr>
        <w:t>)</w:t>
      </w:r>
      <w:r w:rsidR="00335EE0" w:rsidRPr="00CB5573">
        <w:rPr>
          <w:rFonts w:cs="Times New Roman"/>
        </w:rPr>
        <w:t>.</w:t>
      </w:r>
    </w:p>
  </w:footnote>
  <w:footnote w:id="6">
    <w:p w14:paraId="1AA2486F" w14:textId="4C09CC68" w:rsidR="00F74677" w:rsidRPr="002E62AF" w:rsidRDefault="00F74677" w:rsidP="00CB5573">
      <w:pPr>
        <w:pStyle w:val="Textodenotaderodap"/>
        <w:rPr>
          <w:rFonts w:cs="Times New Roman"/>
        </w:rPr>
      </w:pPr>
      <w:r w:rsidRPr="00CB5573">
        <w:rPr>
          <w:rStyle w:val="Refdenotaderodap"/>
          <w:rFonts w:cs="Times New Roman"/>
        </w:rPr>
        <w:footnoteRef/>
      </w:r>
      <w:r w:rsidRPr="002E62AF">
        <w:rPr>
          <w:rFonts w:cs="Times New Roman"/>
        </w:rPr>
        <w:t xml:space="preserve"> </w:t>
      </w:r>
      <w:r w:rsidRPr="002E62AF">
        <w:rPr>
          <w:rFonts w:cs="Times New Roman"/>
        </w:rPr>
        <w:t xml:space="preserve">Cf. Barck, </w:t>
      </w:r>
      <w:r w:rsidR="00A7247D" w:rsidRPr="002E62AF">
        <w:rPr>
          <w:rFonts w:cs="Times New Roman"/>
        </w:rPr>
        <w:t>2010a</w:t>
      </w:r>
      <w:r w:rsidRPr="002E62AF">
        <w:rPr>
          <w:rFonts w:cs="Times New Roman"/>
        </w:rPr>
        <w:t xml:space="preserve">, </w:t>
      </w:r>
      <w:r w:rsidR="009C2890" w:rsidRPr="002E62AF">
        <w:rPr>
          <w:rFonts w:cs="Times New Roman"/>
        </w:rPr>
        <w:t>p</w:t>
      </w:r>
      <w:r w:rsidRPr="002E62AF">
        <w:rPr>
          <w:rFonts w:cs="Times New Roman"/>
        </w:rPr>
        <w:t>. 121-142</w:t>
      </w:r>
    </w:p>
  </w:footnote>
  <w:footnote w:id="7">
    <w:p w14:paraId="53852F30" w14:textId="252684F1" w:rsidR="0019501F" w:rsidRPr="002E62AF" w:rsidRDefault="0019501F" w:rsidP="00CB5573">
      <w:pPr>
        <w:pStyle w:val="Textodenotaderodap"/>
        <w:rPr>
          <w:rFonts w:cs="Times New Roman"/>
        </w:rPr>
      </w:pPr>
      <w:r w:rsidRPr="00CB5573">
        <w:rPr>
          <w:rStyle w:val="Refdenotaderodap"/>
          <w:rFonts w:cs="Times New Roman"/>
        </w:rPr>
        <w:footnoteRef/>
      </w:r>
      <w:r w:rsidR="00C9204F" w:rsidRPr="002E62AF">
        <w:rPr>
          <w:rFonts w:cs="Times New Roman"/>
        </w:rPr>
        <w:t xml:space="preserve"> </w:t>
      </w:r>
      <w:r w:rsidR="00F74677" w:rsidRPr="002E62AF">
        <w:rPr>
          <w:rFonts w:cs="Times New Roman"/>
        </w:rPr>
        <w:t>Cf.</w:t>
      </w:r>
      <w:r w:rsidR="00FC56B3" w:rsidRPr="002E62AF">
        <w:rPr>
          <w:rFonts w:cs="Times New Roman"/>
        </w:rPr>
        <w:t xml:space="preserve"> </w:t>
      </w:r>
      <w:r w:rsidRPr="002E62AF">
        <w:rPr>
          <w:rFonts w:cs="Times New Roman"/>
        </w:rPr>
        <w:t xml:space="preserve">Barck, </w:t>
      </w:r>
      <w:r w:rsidR="00A7247D" w:rsidRPr="002E62AF">
        <w:rPr>
          <w:rFonts w:cs="Times New Roman"/>
        </w:rPr>
        <w:t>2010b,</w:t>
      </w:r>
      <w:r w:rsidRPr="002E62AF">
        <w:rPr>
          <w:rFonts w:cs="Times New Roman"/>
        </w:rPr>
        <w:t xml:space="preserve"> </w:t>
      </w:r>
      <w:r w:rsidR="00FC56B3" w:rsidRPr="002E62AF">
        <w:rPr>
          <w:rFonts w:cs="Times New Roman"/>
        </w:rPr>
        <w:t xml:space="preserve">p. </w:t>
      </w:r>
      <w:r w:rsidRPr="002E62AF">
        <w:rPr>
          <w:rFonts w:cs="Times New Roman"/>
        </w:rPr>
        <w:t>221</w:t>
      </w:r>
      <w:r w:rsidR="00FC56B3" w:rsidRPr="002E62AF">
        <w:rPr>
          <w:rFonts w:cs="Times New Roman"/>
        </w:rPr>
        <w:t>.</w:t>
      </w:r>
    </w:p>
  </w:footnote>
  <w:footnote w:id="8">
    <w:p w14:paraId="60776616" w14:textId="4E5A5A4A" w:rsidR="00F93DBB" w:rsidRPr="002E62AF" w:rsidRDefault="00F93DBB" w:rsidP="00CB5573">
      <w:pPr>
        <w:pStyle w:val="SemEspaamento"/>
        <w:jc w:val="both"/>
        <w:rPr>
          <w:rFonts w:ascii="Times New Roman" w:hAnsi="Times New Roman" w:cs="Times New Roman"/>
          <w:sz w:val="20"/>
          <w:szCs w:val="20"/>
        </w:rPr>
      </w:pPr>
      <w:r w:rsidRPr="00CB5573">
        <w:rPr>
          <w:rStyle w:val="Refdenotaderodap"/>
          <w:rFonts w:ascii="Times New Roman" w:hAnsi="Times New Roman" w:cs="Times New Roman"/>
          <w:sz w:val="20"/>
          <w:szCs w:val="20"/>
        </w:rPr>
        <w:footnoteRef/>
      </w:r>
      <w:r w:rsidRPr="002E62AF">
        <w:rPr>
          <w:rFonts w:ascii="Times New Roman" w:hAnsi="Times New Roman" w:cs="Times New Roman"/>
          <w:sz w:val="20"/>
          <w:szCs w:val="20"/>
        </w:rPr>
        <w:t xml:space="preserve"> Cf. </w:t>
      </w:r>
      <w:r w:rsidR="00C9204F" w:rsidRPr="002E62AF">
        <w:rPr>
          <w:rFonts w:ascii="Times New Roman" w:hAnsi="Times New Roman" w:cs="Times New Roman"/>
          <w:sz w:val="20"/>
          <w:szCs w:val="20"/>
        </w:rPr>
        <w:t>Benjamin, 1991a,</w:t>
      </w:r>
      <w:r w:rsidRPr="002E62AF">
        <w:rPr>
          <w:rFonts w:ascii="Times New Roman" w:hAnsi="Times New Roman" w:cs="Times New Roman"/>
          <w:sz w:val="20"/>
          <w:szCs w:val="20"/>
        </w:rPr>
        <w:t xml:space="preserve"> </w:t>
      </w:r>
      <w:r w:rsidR="009C2890" w:rsidRPr="002E62AF">
        <w:rPr>
          <w:rFonts w:ascii="Times New Roman" w:hAnsi="Times New Roman" w:cs="Times New Roman"/>
          <w:sz w:val="20"/>
          <w:szCs w:val="20"/>
        </w:rPr>
        <w:t>p</w:t>
      </w:r>
      <w:r w:rsidRPr="002E62AF">
        <w:rPr>
          <w:rFonts w:ascii="Times New Roman" w:hAnsi="Times New Roman" w:cs="Times New Roman"/>
          <w:sz w:val="20"/>
          <w:szCs w:val="20"/>
        </w:rPr>
        <w:t>. 222, 234, 256.</w:t>
      </w:r>
    </w:p>
  </w:footnote>
  <w:footnote w:id="9">
    <w:p w14:paraId="79B9022F" w14:textId="60AF3B70" w:rsidR="00CF5B0C" w:rsidRPr="002E62AF" w:rsidRDefault="00CF5B0C" w:rsidP="00CB5573">
      <w:pPr>
        <w:pStyle w:val="Textodenotaderodap"/>
        <w:rPr>
          <w:rFonts w:cs="Times New Roman"/>
        </w:rPr>
      </w:pPr>
      <w:r w:rsidRPr="00CB5573">
        <w:rPr>
          <w:rStyle w:val="Refdenotaderodap"/>
          <w:rFonts w:cs="Times New Roman"/>
        </w:rPr>
        <w:footnoteRef/>
      </w:r>
      <w:r w:rsidRPr="002E62AF">
        <w:rPr>
          <w:rFonts w:cs="Times New Roman"/>
        </w:rPr>
        <w:t xml:space="preserve"> Cf. Benjamin, 1991a, </w:t>
      </w:r>
      <w:r w:rsidR="009C2890" w:rsidRPr="002E62AF">
        <w:rPr>
          <w:rFonts w:cs="Times New Roman"/>
        </w:rPr>
        <w:t>p</w:t>
      </w:r>
      <w:r w:rsidRPr="002E62AF">
        <w:rPr>
          <w:rFonts w:cs="Times New Roman"/>
        </w:rPr>
        <w:t>. 558 e 561.</w:t>
      </w:r>
    </w:p>
  </w:footnote>
  <w:footnote w:id="10">
    <w:p w14:paraId="59B4893C" w14:textId="28EFAFE3" w:rsidR="00065F72" w:rsidRPr="002E62AF" w:rsidRDefault="00065F72" w:rsidP="00CB5573">
      <w:pPr>
        <w:pStyle w:val="SemEspaamento"/>
        <w:contextualSpacing/>
        <w:mirrorIndents/>
        <w:jc w:val="both"/>
        <w:rPr>
          <w:rFonts w:ascii="Times New Roman" w:hAnsi="Times New Roman" w:cs="Times New Roman"/>
          <w:sz w:val="20"/>
          <w:szCs w:val="20"/>
        </w:rPr>
      </w:pPr>
      <w:r w:rsidRPr="00CB5573">
        <w:rPr>
          <w:rStyle w:val="Refdenotaderodap"/>
          <w:rFonts w:ascii="Times New Roman" w:hAnsi="Times New Roman" w:cs="Times New Roman"/>
          <w:sz w:val="20"/>
          <w:szCs w:val="20"/>
        </w:rPr>
        <w:footnoteRef/>
      </w:r>
      <w:r w:rsidRPr="002E62AF">
        <w:rPr>
          <w:rFonts w:ascii="Times New Roman" w:hAnsi="Times New Roman" w:cs="Times New Roman"/>
          <w:sz w:val="20"/>
          <w:szCs w:val="20"/>
        </w:rPr>
        <w:t xml:space="preserve"> </w:t>
      </w:r>
      <w:bookmarkStart w:id="5" w:name="_Hlk230506863"/>
      <w:r w:rsidR="00CF5B0C" w:rsidRPr="002E62AF">
        <w:rPr>
          <w:rFonts w:ascii="Times New Roman" w:hAnsi="Times New Roman" w:cs="Times New Roman"/>
          <w:sz w:val="20"/>
          <w:szCs w:val="20"/>
        </w:rPr>
        <w:t xml:space="preserve">Cf. Benjamin, 1978, </w:t>
      </w:r>
      <w:r w:rsidR="009C2890" w:rsidRPr="002E62AF">
        <w:rPr>
          <w:rFonts w:ascii="Times New Roman" w:hAnsi="Times New Roman" w:cs="Times New Roman"/>
          <w:sz w:val="20"/>
          <w:szCs w:val="20"/>
        </w:rPr>
        <w:t>p</w:t>
      </w:r>
      <w:r w:rsidR="00CF5B0C" w:rsidRPr="002E62AF">
        <w:rPr>
          <w:rFonts w:ascii="Times New Roman" w:hAnsi="Times New Roman" w:cs="Times New Roman"/>
          <w:sz w:val="20"/>
          <w:szCs w:val="20"/>
        </w:rPr>
        <w:t>. 792, 798-799, 824.</w:t>
      </w:r>
      <w:bookmarkEnd w:id="5"/>
    </w:p>
  </w:footnote>
  <w:footnote w:id="11">
    <w:p w14:paraId="3E120976" w14:textId="02125739" w:rsidR="005F3E65" w:rsidRPr="00CB5573" w:rsidRDefault="002E3135" w:rsidP="00CB5573">
      <w:pPr>
        <w:pStyle w:val="Textodenotaderodap"/>
        <w:rPr>
          <w:rFonts w:cs="Times New Roman"/>
          <w:color w:val="auto"/>
        </w:rPr>
      </w:pPr>
      <w:r w:rsidRPr="00CB5573">
        <w:rPr>
          <w:rStyle w:val="Refdenotaderodap"/>
          <w:rFonts w:cs="Times New Roman"/>
        </w:rPr>
        <w:footnoteRef/>
      </w:r>
      <w:r w:rsidRPr="00CB5573">
        <w:rPr>
          <w:rFonts w:cs="Times New Roman"/>
        </w:rPr>
        <w:t xml:space="preserve"> </w:t>
      </w:r>
      <w:bookmarkStart w:id="6" w:name="_Hlk230508160"/>
      <w:r w:rsidRPr="00CB5573">
        <w:rPr>
          <w:rFonts w:cs="Times New Roman"/>
        </w:rPr>
        <w:t>O próprio Benjamin</w:t>
      </w:r>
      <w:r w:rsidR="005C61A3" w:rsidRPr="00CB5573">
        <w:rPr>
          <w:rFonts w:cs="Times New Roman"/>
        </w:rPr>
        <w:t xml:space="preserve"> afirma</w:t>
      </w:r>
      <w:r w:rsidR="00765CB1" w:rsidRPr="00CB5573">
        <w:rPr>
          <w:rFonts w:cs="Times New Roman"/>
        </w:rPr>
        <w:t xml:space="preserve">, numa carta a </w:t>
      </w:r>
      <w:proofErr w:type="spellStart"/>
      <w:r w:rsidR="00765CB1" w:rsidRPr="00CB5573">
        <w:rPr>
          <w:rFonts w:cs="Times New Roman"/>
        </w:rPr>
        <w:t>Gretel</w:t>
      </w:r>
      <w:proofErr w:type="spellEnd"/>
      <w:r w:rsidR="00765CB1" w:rsidRPr="00CB5573">
        <w:rPr>
          <w:rFonts w:cs="Times New Roman"/>
        </w:rPr>
        <w:t xml:space="preserve"> Adorno (26 de junho de 1939),</w:t>
      </w:r>
      <w:r w:rsidR="005C61A3" w:rsidRPr="00CB5573">
        <w:rPr>
          <w:rFonts w:cs="Times New Roman"/>
        </w:rPr>
        <w:t xml:space="preserve"> que os dois textos são duas versões d</w:t>
      </w:r>
      <w:r w:rsidR="00765CB1" w:rsidRPr="00CB5573">
        <w:rPr>
          <w:rFonts w:cs="Times New Roman"/>
        </w:rPr>
        <w:t>e um</w:t>
      </w:r>
      <w:r w:rsidR="005C61A3" w:rsidRPr="00CB5573">
        <w:rPr>
          <w:rFonts w:cs="Times New Roman"/>
        </w:rPr>
        <w:t xml:space="preserve"> mesmo ensaio. Mais sensato, porém, é lermos esses textos como dois ensaios distintos, pois, como observou </w:t>
      </w:r>
      <w:proofErr w:type="spellStart"/>
      <w:r w:rsidR="005C61A3" w:rsidRPr="00CB5573">
        <w:rPr>
          <w:rFonts w:cs="Times New Roman"/>
        </w:rPr>
        <w:t>Erdmut</w:t>
      </w:r>
      <w:proofErr w:type="spellEnd"/>
      <w:r w:rsidR="005C61A3" w:rsidRPr="00CB5573">
        <w:rPr>
          <w:rFonts w:cs="Times New Roman"/>
        </w:rPr>
        <w:t xml:space="preserve"> </w:t>
      </w:r>
      <w:proofErr w:type="spellStart"/>
      <w:r w:rsidR="005C61A3" w:rsidRPr="00CB5573">
        <w:rPr>
          <w:rFonts w:cs="Times New Roman"/>
        </w:rPr>
        <w:t>Wizisla</w:t>
      </w:r>
      <w:proofErr w:type="spellEnd"/>
      <w:r w:rsidR="005C61A3" w:rsidRPr="00CB5573">
        <w:rPr>
          <w:rFonts w:cs="Times New Roman"/>
        </w:rPr>
        <w:t xml:space="preserve">, o segundo ensaio demonstra uma compreensão bem mais aprofundada do teatro épico (cf. </w:t>
      </w:r>
      <w:proofErr w:type="spellStart"/>
      <w:r w:rsidR="005C61A3" w:rsidRPr="00CB5573">
        <w:rPr>
          <w:rFonts w:cs="Times New Roman"/>
        </w:rPr>
        <w:t>Wizisla</w:t>
      </w:r>
      <w:proofErr w:type="spellEnd"/>
      <w:r w:rsidR="005C61A3" w:rsidRPr="00CB5573">
        <w:rPr>
          <w:rFonts w:cs="Times New Roman"/>
        </w:rPr>
        <w:t>, 2004, p. 222).</w:t>
      </w:r>
      <w:bookmarkEnd w:id="6"/>
    </w:p>
  </w:footnote>
  <w:footnote w:id="12">
    <w:p w14:paraId="1C4D6AD6" w14:textId="25E82DCF" w:rsidR="00AA6D8B" w:rsidRPr="002E62AF" w:rsidRDefault="00AA6D8B" w:rsidP="00CB5573">
      <w:pPr>
        <w:pStyle w:val="SemEspaamento"/>
        <w:contextualSpacing/>
        <w:mirrorIndents/>
        <w:jc w:val="both"/>
        <w:rPr>
          <w:rFonts w:ascii="Times New Roman" w:hAnsi="Times New Roman" w:cs="Times New Roman"/>
          <w:sz w:val="20"/>
          <w:szCs w:val="20"/>
          <w:lang w:val="en-US"/>
        </w:rPr>
      </w:pPr>
      <w:r w:rsidRPr="00CB5573">
        <w:rPr>
          <w:rStyle w:val="Refdenotaderodap"/>
          <w:rFonts w:ascii="Times New Roman" w:hAnsi="Times New Roman" w:cs="Times New Roman"/>
          <w:sz w:val="20"/>
          <w:szCs w:val="20"/>
        </w:rPr>
        <w:footnoteRef/>
      </w:r>
      <w:r w:rsidRPr="002E62AF">
        <w:rPr>
          <w:rFonts w:ascii="Times New Roman" w:hAnsi="Times New Roman" w:cs="Times New Roman"/>
          <w:sz w:val="20"/>
          <w:szCs w:val="20"/>
          <w:lang w:val="en-US"/>
        </w:rPr>
        <w:t xml:space="preserve"> </w:t>
      </w:r>
      <w:r w:rsidRPr="002E62AF">
        <w:rPr>
          <w:rFonts w:ascii="Times New Roman" w:hAnsi="Times New Roman" w:cs="Times New Roman"/>
          <w:color w:val="000000" w:themeColor="text1"/>
          <w:sz w:val="20"/>
          <w:szCs w:val="20"/>
          <w:lang w:val="en-US"/>
        </w:rPr>
        <w:t>Cf. Barck, 2010a, p. 121.</w:t>
      </w:r>
    </w:p>
  </w:footnote>
  <w:footnote w:id="13">
    <w:p w14:paraId="588C42C3" w14:textId="14A8DA16" w:rsidR="005F3E65" w:rsidRPr="002E62AF" w:rsidRDefault="007E0067" w:rsidP="00CB5573">
      <w:pPr>
        <w:pStyle w:val="Textodenotaderodap"/>
        <w:rPr>
          <w:rFonts w:cs="Times New Roman"/>
          <w:lang w:val="en-US"/>
        </w:rPr>
      </w:pPr>
      <w:r w:rsidRPr="00CB5573">
        <w:rPr>
          <w:rStyle w:val="Refdenotaderodap"/>
          <w:rFonts w:cs="Times New Roman"/>
        </w:rPr>
        <w:footnoteRef/>
      </w:r>
      <w:r w:rsidRPr="002E62AF">
        <w:rPr>
          <w:rFonts w:cs="Times New Roman"/>
          <w:lang w:val="en-US"/>
        </w:rPr>
        <w:t xml:space="preserve"> </w:t>
      </w:r>
      <w:r w:rsidR="00C36F9A" w:rsidRPr="002E62AF">
        <w:rPr>
          <w:rFonts w:cs="Times New Roman"/>
          <w:lang w:val="en-US"/>
        </w:rPr>
        <w:t>Cf. W</w:t>
      </w:r>
      <w:r w:rsidRPr="002E62AF">
        <w:rPr>
          <w:rFonts w:cs="Times New Roman"/>
          <w:lang w:val="en-US"/>
        </w:rPr>
        <w:t>izisla</w:t>
      </w:r>
      <w:r w:rsidR="00C36F9A" w:rsidRPr="002E62AF">
        <w:rPr>
          <w:rFonts w:cs="Times New Roman"/>
          <w:lang w:val="en-US"/>
        </w:rPr>
        <w:t>, 2004.</w:t>
      </w:r>
    </w:p>
  </w:footnote>
  <w:footnote w:id="14">
    <w:p w14:paraId="7AA5E74F" w14:textId="1873DAA6" w:rsidR="00AA6D8B" w:rsidRPr="002E62AF" w:rsidRDefault="00AA6D8B" w:rsidP="00CB5573">
      <w:pPr>
        <w:pStyle w:val="Textodenotaderodap"/>
        <w:rPr>
          <w:rFonts w:cs="Times New Roman"/>
          <w:lang w:val="en-US"/>
        </w:rPr>
      </w:pPr>
      <w:r w:rsidRPr="00CB5573">
        <w:rPr>
          <w:rStyle w:val="Refdenotaderodap"/>
          <w:rFonts w:cs="Times New Roman"/>
        </w:rPr>
        <w:footnoteRef/>
      </w:r>
      <w:r w:rsidRPr="002E62AF">
        <w:rPr>
          <w:rFonts w:cs="Times New Roman"/>
          <w:lang w:val="en-US"/>
        </w:rPr>
        <w:t xml:space="preserve"> Cf. Rosenfeld, 2000, </w:t>
      </w:r>
      <w:r w:rsidR="009C2890" w:rsidRPr="002E62AF">
        <w:rPr>
          <w:rFonts w:cs="Times New Roman"/>
          <w:lang w:val="en-US"/>
        </w:rPr>
        <w:t>p</w:t>
      </w:r>
      <w:r w:rsidRPr="002E62AF">
        <w:rPr>
          <w:rFonts w:cs="Times New Roman"/>
          <w:lang w:val="en-US"/>
        </w:rPr>
        <w:t>. 29-37.</w:t>
      </w:r>
    </w:p>
  </w:footnote>
  <w:footnote w:id="15">
    <w:p w14:paraId="1F8C04BB" w14:textId="599E4E4D" w:rsidR="00565B3A" w:rsidRPr="001641D3" w:rsidRDefault="008200E9" w:rsidP="00CB5573">
      <w:pPr>
        <w:pStyle w:val="Textodenotaderodap"/>
        <w:rPr>
          <w:rFonts w:cs="Times New Roman"/>
          <w:color w:val="auto"/>
        </w:rPr>
      </w:pPr>
      <w:r w:rsidRPr="00CB5573">
        <w:rPr>
          <w:rStyle w:val="Refdenotaderodap"/>
          <w:rFonts w:cs="Times New Roman"/>
        </w:rPr>
        <w:footnoteRef/>
      </w:r>
      <w:r w:rsidRPr="00CB5573">
        <w:rPr>
          <w:rFonts w:cs="Times New Roman"/>
        </w:rPr>
        <w:t xml:space="preserve"> Cf. </w:t>
      </w:r>
      <w:r w:rsidR="00454E83" w:rsidRPr="00CB5573">
        <w:rPr>
          <w:rFonts w:cs="Times New Roman"/>
        </w:rPr>
        <w:t xml:space="preserve">Platão, </w:t>
      </w:r>
      <w:proofErr w:type="spellStart"/>
      <w:r w:rsidR="00454E83" w:rsidRPr="00CB5573">
        <w:rPr>
          <w:rFonts w:cs="Times New Roman"/>
          <w:i/>
          <w:iCs/>
        </w:rPr>
        <w:t>Teeteto</w:t>
      </w:r>
      <w:proofErr w:type="spellEnd"/>
      <w:r w:rsidR="00454E83" w:rsidRPr="00CB5573">
        <w:rPr>
          <w:rFonts w:cs="Times New Roman"/>
        </w:rPr>
        <w:t xml:space="preserve">, 155d. </w:t>
      </w:r>
      <w:r w:rsidR="00E83480" w:rsidRPr="00CB5573">
        <w:rPr>
          <w:rFonts w:cs="Times New Roman"/>
        </w:rPr>
        <w:t xml:space="preserve">Benjamin usa o termo </w:t>
      </w:r>
      <w:proofErr w:type="spellStart"/>
      <w:r w:rsidR="00E83480" w:rsidRPr="00CB5573">
        <w:rPr>
          <w:rFonts w:cs="Times New Roman"/>
          <w:i/>
          <w:iCs/>
        </w:rPr>
        <w:t>Staunen</w:t>
      </w:r>
      <w:proofErr w:type="spellEnd"/>
      <w:r w:rsidR="00E83480" w:rsidRPr="00CB5573">
        <w:rPr>
          <w:rFonts w:cs="Times New Roman"/>
        </w:rPr>
        <w:t>, que é</w:t>
      </w:r>
      <w:r w:rsidR="00454E83" w:rsidRPr="00CB5573">
        <w:rPr>
          <w:rFonts w:cs="Times New Roman"/>
        </w:rPr>
        <w:t xml:space="preserve"> bem próximo de </w:t>
      </w:r>
      <w:proofErr w:type="spellStart"/>
      <w:r w:rsidR="00454E83" w:rsidRPr="00CB5573">
        <w:rPr>
          <w:rFonts w:cs="Times New Roman"/>
          <w:i/>
          <w:iCs/>
        </w:rPr>
        <w:t>Erstaunen</w:t>
      </w:r>
      <w:proofErr w:type="spellEnd"/>
      <w:r w:rsidR="003218A6" w:rsidRPr="00CB5573">
        <w:rPr>
          <w:rFonts w:cs="Times New Roman"/>
        </w:rPr>
        <w:t xml:space="preserve">, </w:t>
      </w:r>
      <w:r w:rsidR="00E83480" w:rsidRPr="00CB5573">
        <w:rPr>
          <w:rFonts w:cs="Times New Roman"/>
        </w:rPr>
        <w:t>o termo usado</w:t>
      </w:r>
      <w:r w:rsidR="00C86744" w:rsidRPr="00CB5573">
        <w:rPr>
          <w:rFonts w:cs="Times New Roman"/>
        </w:rPr>
        <w:t xml:space="preserve"> por </w:t>
      </w:r>
      <w:proofErr w:type="spellStart"/>
      <w:r w:rsidR="00C86744" w:rsidRPr="00CB5573">
        <w:rPr>
          <w:rFonts w:cs="Times New Roman"/>
        </w:rPr>
        <w:t>Schleiermacher</w:t>
      </w:r>
      <w:proofErr w:type="spellEnd"/>
      <w:r w:rsidR="00C86744" w:rsidRPr="00CB5573">
        <w:rPr>
          <w:rFonts w:cs="Times New Roman"/>
        </w:rPr>
        <w:t xml:space="preserve"> na mais conhecida tradução dos diálogos platônicos em alemão</w:t>
      </w:r>
      <w:r w:rsidR="003218A6" w:rsidRPr="00CB5573">
        <w:rPr>
          <w:rFonts w:cs="Times New Roman"/>
        </w:rPr>
        <w:t xml:space="preserve"> (cf. Platão, 1958, p. 120</w:t>
      </w:r>
      <w:r w:rsidR="00C86744" w:rsidRPr="00CB5573">
        <w:rPr>
          <w:rFonts w:cs="Times New Roman"/>
        </w:rPr>
        <w:t>).</w:t>
      </w:r>
      <w:r w:rsidR="00DF3D57" w:rsidRPr="00CB5573">
        <w:rPr>
          <w:rFonts w:cs="Times New Roman"/>
        </w:rPr>
        <w:t xml:space="preserve"> </w:t>
      </w:r>
      <w:r w:rsidR="00BC2005" w:rsidRPr="00CB5573">
        <w:rPr>
          <w:rFonts w:cs="Times New Roman"/>
        </w:rPr>
        <w:t>A</w:t>
      </w:r>
      <w:r w:rsidR="00DF3D57" w:rsidRPr="00CB5573">
        <w:rPr>
          <w:rFonts w:cs="Times New Roman"/>
        </w:rPr>
        <w:t xml:space="preserve"> referência indireta à filosofia grega poderia igualmente ser pensada como uma menção à passagem da </w:t>
      </w:r>
      <w:r w:rsidR="00DF3D57" w:rsidRPr="00CB5573">
        <w:rPr>
          <w:rFonts w:cs="Times New Roman"/>
          <w:i/>
          <w:iCs/>
        </w:rPr>
        <w:t>Metafísica</w:t>
      </w:r>
      <w:r w:rsidR="00DF3D57" w:rsidRPr="00CB5573">
        <w:rPr>
          <w:rFonts w:cs="Times New Roman"/>
        </w:rPr>
        <w:t xml:space="preserve"> </w:t>
      </w:r>
      <w:r w:rsidR="00BC2005" w:rsidRPr="00CB5573">
        <w:rPr>
          <w:rFonts w:cs="Times New Roman"/>
        </w:rPr>
        <w:t xml:space="preserve">(982b) </w:t>
      </w:r>
      <w:r w:rsidR="00DF3D57" w:rsidRPr="00CB5573">
        <w:rPr>
          <w:rFonts w:cs="Times New Roman"/>
        </w:rPr>
        <w:t xml:space="preserve">em que Aristóteles também vê no </w:t>
      </w:r>
      <w:proofErr w:type="spellStart"/>
      <w:r w:rsidR="00DF3D57" w:rsidRPr="00CB5573">
        <w:rPr>
          <w:rFonts w:cs="Times New Roman"/>
          <w:i/>
          <w:iCs/>
        </w:rPr>
        <w:t>thaumázein</w:t>
      </w:r>
      <w:proofErr w:type="spellEnd"/>
      <w:r w:rsidR="00DF3D57" w:rsidRPr="00CB5573">
        <w:rPr>
          <w:rFonts w:cs="Times New Roman"/>
        </w:rPr>
        <w:t xml:space="preserve"> a origem da filosofia. No entanto, a tradução mais comum deste termo, nas </w:t>
      </w:r>
      <w:r w:rsidR="009C195F" w:rsidRPr="00CB5573">
        <w:rPr>
          <w:rFonts w:cs="Times New Roman"/>
        </w:rPr>
        <w:t>versões</w:t>
      </w:r>
      <w:r w:rsidR="00DF3D57" w:rsidRPr="00CB5573">
        <w:rPr>
          <w:rFonts w:cs="Times New Roman"/>
        </w:rPr>
        <w:t xml:space="preserve"> alemãs d</w:t>
      </w:r>
      <w:r w:rsidR="00BC2005" w:rsidRPr="00CB5573">
        <w:rPr>
          <w:rFonts w:cs="Times New Roman"/>
        </w:rPr>
        <w:t xml:space="preserve">a </w:t>
      </w:r>
      <w:r w:rsidR="00BC2005" w:rsidRPr="00CB5573">
        <w:rPr>
          <w:rFonts w:cs="Times New Roman"/>
          <w:i/>
          <w:iCs/>
        </w:rPr>
        <w:t>Metafísica</w:t>
      </w:r>
      <w:r w:rsidR="00BC2005" w:rsidRPr="00CB5573">
        <w:rPr>
          <w:rFonts w:cs="Times New Roman"/>
        </w:rPr>
        <w:t xml:space="preserve"> de</w:t>
      </w:r>
      <w:r w:rsidR="00DF3D57" w:rsidRPr="00CB5573">
        <w:rPr>
          <w:rFonts w:cs="Times New Roman"/>
        </w:rPr>
        <w:t xml:space="preserve"> Aristóteles, é </w:t>
      </w:r>
      <w:proofErr w:type="spellStart"/>
      <w:r w:rsidR="00DF3D57" w:rsidRPr="00CB5573">
        <w:rPr>
          <w:rFonts w:cs="Times New Roman"/>
          <w:i/>
          <w:iCs/>
        </w:rPr>
        <w:t>Verwunderung</w:t>
      </w:r>
      <w:proofErr w:type="spellEnd"/>
      <w:r w:rsidR="00BC2005" w:rsidRPr="00CB5573">
        <w:rPr>
          <w:rFonts w:cs="Times New Roman"/>
        </w:rPr>
        <w:t xml:space="preserve">. Veja-se, por exemplo, a edição de Horst Seidl, que parte da tradução mais conhecida, feita por Hermann </w:t>
      </w:r>
      <w:proofErr w:type="spellStart"/>
      <w:r w:rsidR="00BC2005" w:rsidRPr="00CB5573">
        <w:rPr>
          <w:rFonts w:cs="Times New Roman"/>
        </w:rPr>
        <w:t>Bonitz</w:t>
      </w:r>
      <w:proofErr w:type="spellEnd"/>
      <w:r w:rsidR="00BC2005" w:rsidRPr="00CB5573">
        <w:rPr>
          <w:rFonts w:cs="Times New Roman"/>
        </w:rPr>
        <w:t>, no século XIX (</w:t>
      </w:r>
      <w:r w:rsidR="00CD6226" w:rsidRPr="00CB5573">
        <w:rPr>
          <w:rFonts w:cs="Times New Roman"/>
        </w:rPr>
        <w:t xml:space="preserve">cf. </w:t>
      </w:r>
      <w:r w:rsidR="00BC2005" w:rsidRPr="00CB5573">
        <w:rPr>
          <w:rFonts w:cs="Times New Roman"/>
        </w:rPr>
        <w:t>Aristóteles, 2019, p. 13).</w:t>
      </w:r>
      <w:r w:rsidR="009C195F" w:rsidRPr="00CB5573">
        <w:rPr>
          <w:rFonts w:cs="Times New Roman"/>
        </w:rPr>
        <w:t xml:space="preserve"> Pode-se dizer, com isso, que a referência indireta de Benjamin é a Platão, não </w:t>
      </w:r>
      <w:r w:rsidR="00BE6BFB" w:rsidRPr="00CB5573">
        <w:rPr>
          <w:rFonts w:cs="Times New Roman"/>
        </w:rPr>
        <w:t xml:space="preserve">a </w:t>
      </w:r>
      <w:r w:rsidR="009C195F" w:rsidRPr="00CB5573">
        <w:rPr>
          <w:rFonts w:cs="Times New Roman"/>
        </w:rPr>
        <w:t>Aristóteles.</w:t>
      </w:r>
    </w:p>
  </w:footnote>
  <w:footnote w:id="16">
    <w:p w14:paraId="46B4A570" w14:textId="408226C8" w:rsidR="000332C2" w:rsidRPr="00CB5573" w:rsidRDefault="000332C2" w:rsidP="00CB5573">
      <w:pPr>
        <w:spacing w:line="240" w:lineRule="auto"/>
        <w:ind w:firstLine="0"/>
        <w:contextualSpacing/>
        <w:mirrorIndents/>
        <w:rPr>
          <w:rFonts w:cs="Times New Roman"/>
          <w:sz w:val="20"/>
          <w:szCs w:val="20"/>
        </w:rPr>
      </w:pPr>
      <w:r w:rsidRPr="00CB5573">
        <w:rPr>
          <w:rStyle w:val="Refdenotaderodap"/>
          <w:rFonts w:cs="Times New Roman"/>
          <w:sz w:val="20"/>
          <w:szCs w:val="20"/>
        </w:rPr>
        <w:footnoteRef/>
      </w:r>
      <w:r w:rsidRPr="00CB5573">
        <w:rPr>
          <w:rFonts w:cs="Times New Roman"/>
          <w:sz w:val="20"/>
          <w:szCs w:val="20"/>
        </w:rPr>
        <w:t xml:space="preserve"> </w:t>
      </w:r>
      <w:r w:rsidR="008D359A" w:rsidRPr="00CB5573">
        <w:rPr>
          <w:rFonts w:eastAsia="Calibri" w:cs="Times New Roman"/>
          <w:sz w:val="20"/>
          <w:szCs w:val="20"/>
        </w:rPr>
        <w:t>T</w:t>
      </w:r>
      <w:r w:rsidRPr="00CB5573">
        <w:rPr>
          <w:rFonts w:eastAsia="Calibri" w:cs="Times New Roman"/>
          <w:sz w:val="20"/>
          <w:szCs w:val="20"/>
        </w:rPr>
        <w:t>odos os textos citados neste artigo foram traduzidos pelo autor.</w:t>
      </w:r>
    </w:p>
  </w:footnote>
  <w:footnote w:id="17">
    <w:p w14:paraId="661C5070" w14:textId="253B7E44" w:rsidR="00F56DC4" w:rsidRPr="00CB5573" w:rsidRDefault="00F56DC4" w:rsidP="00565B3A">
      <w:pPr>
        <w:autoSpaceDE w:val="0"/>
        <w:autoSpaceDN w:val="0"/>
        <w:adjustRightInd w:val="0"/>
        <w:spacing w:line="240" w:lineRule="auto"/>
        <w:ind w:firstLine="0"/>
        <w:contextualSpacing/>
        <w:mirrorIndents/>
        <w:rPr>
          <w:sz w:val="20"/>
          <w:szCs w:val="20"/>
          <w:lang w:val="de-DE"/>
        </w:rPr>
      </w:pPr>
      <w:r w:rsidRPr="00CB5573">
        <w:rPr>
          <w:rStyle w:val="Refdenotaderodap"/>
          <w:rFonts w:cs="Times New Roman"/>
          <w:sz w:val="20"/>
          <w:szCs w:val="20"/>
        </w:rPr>
        <w:footnoteRef/>
      </w:r>
      <w:r w:rsidRPr="00CB5573">
        <w:rPr>
          <w:rFonts w:cs="Times New Roman"/>
          <w:sz w:val="20"/>
          <w:szCs w:val="20"/>
          <w:lang w:val="de-DE"/>
        </w:rPr>
        <w:t xml:space="preserve"> </w:t>
      </w:r>
      <w:r w:rsidRPr="00CB5573">
        <w:rPr>
          <w:rFonts w:eastAsia="Calibri" w:cs="Times New Roman"/>
          <w:sz w:val="20"/>
          <w:szCs w:val="20"/>
          <w:lang w:val="de-DE"/>
        </w:rPr>
        <w:t>Cf. Freitas, 2024.</w:t>
      </w:r>
    </w:p>
  </w:footnote>
  <w:footnote w:id="18">
    <w:p w14:paraId="6527DE66" w14:textId="0EA99CB7" w:rsidR="004914F6" w:rsidRPr="00CB5573" w:rsidRDefault="004914F6" w:rsidP="00CB5573">
      <w:pPr>
        <w:pStyle w:val="Textodenotaderodap"/>
        <w:rPr>
          <w:rFonts w:cs="Times New Roman"/>
          <w:lang w:val="de-DE"/>
        </w:rPr>
      </w:pPr>
      <w:r w:rsidRPr="00CB5573">
        <w:rPr>
          <w:rStyle w:val="Refdenotaderodap"/>
          <w:rFonts w:cs="Times New Roman"/>
        </w:rPr>
        <w:footnoteRef/>
      </w:r>
      <w:r w:rsidRPr="00CB5573">
        <w:rPr>
          <w:rFonts w:cs="Times New Roman"/>
          <w:lang w:val="de-DE"/>
        </w:rPr>
        <w:t xml:space="preserve"> </w:t>
      </w:r>
      <w:r w:rsidRPr="00CB5573">
        <w:rPr>
          <w:rFonts w:eastAsia="Calibri" w:cs="Times New Roman"/>
          <w:lang w:val="de-DE"/>
        </w:rPr>
        <w:t>Cf.</w:t>
      </w:r>
      <w:r w:rsidRPr="00CB5573">
        <w:rPr>
          <w:rFonts w:cs="Times New Roman"/>
          <w:lang w:val="de-DE"/>
        </w:rPr>
        <w:t xml:space="preserve"> </w:t>
      </w:r>
      <w:r w:rsidRPr="00CB5573">
        <w:rPr>
          <w:rFonts w:cs="Times New Roman"/>
          <w:lang w:val="de-DE"/>
        </w:rPr>
        <w:t>Brecht, 1991,</w:t>
      </w:r>
      <w:r w:rsidRPr="00CB5573">
        <w:rPr>
          <w:rFonts w:cs="Times New Roman"/>
          <w:shd w:val="clear" w:color="auto" w:fill="FFFFFF"/>
          <w:lang w:val="de-DE"/>
        </w:rPr>
        <w:t xml:space="preserve"> </w:t>
      </w:r>
      <w:r w:rsidR="009C2890">
        <w:rPr>
          <w:rFonts w:cs="Times New Roman"/>
          <w:shd w:val="clear" w:color="auto" w:fill="FFFFFF"/>
          <w:lang w:val="de-DE"/>
        </w:rPr>
        <w:t>p</w:t>
      </w:r>
      <w:r w:rsidRPr="00CB5573">
        <w:rPr>
          <w:rFonts w:cs="Times New Roman"/>
          <w:shd w:val="clear" w:color="auto" w:fill="FFFFFF"/>
          <w:lang w:val="de-DE"/>
        </w:rPr>
        <w:t>. 78-79, 85; K</w:t>
      </w:r>
      <w:r w:rsidRPr="00CB5573">
        <w:rPr>
          <w:rFonts w:cs="Times New Roman"/>
          <w:lang w:val="de-DE"/>
        </w:rPr>
        <w:t xml:space="preserve">nopf, 2003, </w:t>
      </w:r>
      <w:r w:rsidR="009C2890">
        <w:rPr>
          <w:rFonts w:cs="Times New Roman"/>
          <w:lang w:val="de-DE"/>
        </w:rPr>
        <w:t>p</w:t>
      </w:r>
      <w:r w:rsidRPr="00CB5573">
        <w:rPr>
          <w:rFonts w:cs="Times New Roman"/>
          <w:lang w:val="de-DE"/>
        </w:rPr>
        <w:t>. 48-57.</w:t>
      </w:r>
    </w:p>
  </w:footnote>
  <w:footnote w:id="19">
    <w:p w14:paraId="6B8BF46F" w14:textId="4C760DE4" w:rsidR="00D25445" w:rsidRPr="00CB5573" w:rsidRDefault="00D25445" w:rsidP="00CB5573">
      <w:pPr>
        <w:pStyle w:val="SemEspaamento"/>
        <w:jc w:val="both"/>
        <w:rPr>
          <w:rFonts w:ascii="Times New Roman" w:hAnsi="Times New Roman" w:cs="Times New Roman"/>
          <w:sz w:val="20"/>
          <w:szCs w:val="20"/>
          <w:lang w:val="de-DE"/>
        </w:rPr>
      </w:pPr>
      <w:r w:rsidRPr="00CB5573">
        <w:rPr>
          <w:rStyle w:val="Refdenotaderodap"/>
          <w:rFonts w:ascii="Times New Roman" w:hAnsi="Times New Roman" w:cs="Times New Roman"/>
          <w:sz w:val="20"/>
          <w:szCs w:val="20"/>
        </w:rPr>
        <w:footnoteRef/>
      </w:r>
      <w:r w:rsidRPr="00CB5573">
        <w:rPr>
          <w:rFonts w:ascii="Times New Roman" w:hAnsi="Times New Roman" w:cs="Times New Roman"/>
          <w:sz w:val="20"/>
          <w:szCs w:val="20"/>
          <w:lang w:val="de-DE"/>
        </w:rPr>
        <w:t xml:space="preserve"> </w:t>
      </w:r>
      <w:r w:rsidRPr="00CB5573">
        <w:rPr>
          <w:rFonts w:ascii="Times New Roman" w:hAnsi="Times New Roman" w:cs="Times New Roman"/>
          <w:sz w:val="20"/>
          <w:szCs w:val="20"/>
          <w:lang w:val="de-DE"/>
        </w:rPr>
        <w:t xml:space="preserve">Cf. </w:t>
      </w:r>
      <w:r w:rsidRPr="00CB5573">
        <w:rPr>
          <w:rFonts w:ascii="Times New Roman" w:hAnsi="Times New Roman" w:cs="Times New Roman"/>
          <w:sz w:val="20"/>
          <w:szCs w:val="20"/>
          <w:lang w:val="de-DE"/>
        </w:rPr>
        <w:t>Knopf, 2003, p. 80.</w:t>
      </w:r>
    </w:p>
  </w:footnote>
  <w:footnote w:id="20">
    <w:p w14:paraId="58AB7397" w14:textId="0C8E097D" w:rsidR="00CB5573" w:rsidRPr="00CB5573" w:rsidRDefault="00C36F9A" w:rsidP="00CB5573">
      <w:pPr>
        <w:pStyle w:val="Textodenotaderodap"/>
        <w:rPr>
          <w:rFonts w:cs="Times New Roman"/>
          <w:lang w:val="de-DE"/>
        </w:rPr>
      </w:pPr>
      <w:r w:rsidRPr="00CB5573">
        <w:rPr>
          <w:rStyle w:val="Refdenotaderodap"/>
          <w:rFonts w:cs="Times New Roman"/>
        </w:rPr>
        <w:footnoteRef/>
      </w:r>
      <w:r w:rsidRPr="00CB5573">
        <w:rPr>
          <w:rFonts w:cs="Times New Roman"/>
          <w:lang w:val="de-DE"/>
        </w:rPr>
        <w:t xml:space="preserve"> </w:t>
      </w:r>
      <w:r w:rsidR="00BF00C7" w:rsidRPr="00CB5573">
        <w:rPr>
          <w:rFonts w:cs="Times New Roman"/>
          <w:lang w:val="de-DE"/>
        </w:rPr>
        <w:t xml:space="preserve">Brecht, </w:t>
      </w:r>
      <w:r w:rsidR="00BF00C7" w:rsidRPr="00CB5573">
        <w:rPr>
          <w:rFonts w:cs="Times New Roman"/>
          <w:lang w:val="de-DE"/>
        </w:rPr>
        <w:t>1991,</w:t>
      </w:r>
      <w:r w:rsidR="00BF00C7" w:rsidRPr="00CB5573">
        <w:rPr>
          <w:rFonts w:cs="Times New Roman"/>
          <w:shd w:val="clear" w:color="auto" w:fill="FFFFFF"/>
          <w:lang w:val="de-DE"/>
        </w:rPr>
        <w:t xml:space="preserve"> </w:t>
      </w:r>
      <w:r w:rsidR="009C2890">
        <w:rPr>
          <w:rFonts w:cs="Times New Roman"/>
          <w:shd w:val="clear" w:color="auto" w:fill="FFFFFF"/>
          <w:lang w:val="de-DE"/>
        </w:rPr>
        <w:t>p</w:t>
      </w:r>
      <w:r w:rsidR="00BF00C7" w:rsidRPr="00CB5573">
        <w:rPr>
          <w:rFonts w:cs="Times New Roman"/>
          <w:shd w:val="clear" w:color="auto" w:fill="FFFFFF"/>
          <w:lang w:val="de-DE"/>
        </w:rPr>
        <w:t>. 78-79.</w:t>
      </w:r>
    </w:p>
  </w:footnote>
  <w:footnote w:id="21">
    <w:p w14:paraId="78661768" w14:textId="11EC3C8D" w:rsidR="00632B8C" w:rsidRPr="00CB5573" w:rsidRDefault="00632B8C" w:rsidP="00CB5573">
      <w:pPr>
        <w:pStyle w:val="SemEspaamento"/>
        <w:jc w:val="both"/>
        <w:rPr>
          <w:rFonts w:ascii="Times New Roman" w:hAnsi="Times New Roman" w:cs="Times New Roman"/>
          <w:sz w:val="20"/>
          <w:szCs w:val="20"/>
          <w:lang w:val="de-DE"/>
        </w:rPr>
      </w:pPr>
      <w:r w:rsidRPr="00CB5573">
        <w:rPr>
          <w:rStyle w:val="Refdenotaderodap"/>
          <w:rFonts w:ascii="Times New Roman" w:hAnsi="Times New Roman" w:cs="Times New Roman"/>
          <w:sz w:val="20"/>
          <w:szCs w:val="20"/>
        </w:rPr>
        <w:footnoteRef/>
      </w:r>
      <w:r w:rsidRPr="00CB5573">
        <w:rPr>
          <w:rFonts w:ascii="Times New Roman" w:hAnsi="Times New Roman" w:cs="Times New Roman"/>
          <w:sz w:val="20"/>
          <w:szCs w:val="20"/>
          <w:lang w:val="de-DE"/>
        </w:rPr>
        <w:t xml:space="preserve"> </w:t>
      </w:r>
      <w:r w:rsidRPr="00CB5573">
        <w:rPr>
          <w:rFonts w:ascii="Times New Roman" w:hAnsi="Times New Roman" w:cs="Times New Roman"/>
          <w:sz w:val="20"/>
          <w:szCs w:val="20"/>
          <w:lang w:val="de-DE"/>
        </w:rPr>
        <w:t xml:space="preserve">Cf. </w:t>
      </w:r>
      <w:r w:rsidRPr="00CB5573">
        <w:rPr>
          <w:rFonts w:ascii="Times New Roman" w:hAnsi="Times New Roman" w:cs="Times New Roman"/>
          <w:sz w:val="20"/>
          <w:szCs w:val="20"/>
          <w:lang w:val="de-DE"/>
        </w:rPr>
        <w:t>Allesch,</w:t>
      </w:r>
      <w:r w:rsidRPr="00CB5573">
        <w:rPr>
          <w:rFonts w:ascii="Times New Roman" w:hAnsi="Times New Roman" w:cs="Times New Roman"/>
          <w:sz w:val="20"/>
          <w:szCs w:val="20"/>
          <w:shd w:val="clear" w:color="auto" w:fill="FFFFFF"/>
          <w:lang w:val="de-DE"/>
        </w:rPr>
        <w:t xml:space="preserve"> 1987,</w:t>
      </w:r>
      <w:r w:rsidRPr="00CB5573">
        <w:rPr>
          <w:rFonts w:ascii="Times New Roman" w:hAnsi="Times New Roman" w:cs="Times New Roman"/>
          <w:sz w:val="20"/>
          <w:szCs w:val="20"/>
          <w:lang w:val="de-DE"/>
        </w:rPr>
        <w:t xml:space="preserve"> </w:t>
      </w:r>
      <w:r w:rsidR="009C2890">
        <w:rPr>
          <w:rFonts w:ascii="Times New Roman" w:hAnsi="Times New Roman" w:cs="Times New Roman"/>
          <w:sz w:val="20"/>
          <w:szCs w:val="20"/>
          <w:lang w:val="de-DE"/>
        </w:rPr>
        <w:t>p</w:t>
      </w:r>
      <w:r w:rsidRPr="00CB5573">
        <w:rPr>
          <w:rFonts w:ascii="Times New Roman" w:hAnsi="Times New Roman" w:cs="Times New Roman"/>
          <w:sz w:val="20"/>
          <w:szCs w:val="20"/>
          <w:lang w:val="de-DE"/>
        </w:rPr>
        <w:t xml:space="preserve"> 323-324, 433-434.</w:t>
      </w:r>
    </w:p>
  </w:footnote>
  <w:footnote w:id="22">
    <w:p w14:paraId="215EFE96" w14:textId="3A380A22" w:rsidR="00CB5573" w:rsidRPr="00CB5573" w:rsidRDefault="00774C4F" w:rsidP="00CB5573">
      <w:pPr>
        <w:pStyle w:val="Textodenotaderodap"/>
        <w:rPr>
          <w:rFonts w:cs="Times New Roman"/>
          <w:lang w:val="de-DE"/>
        </w:rPr>
      </w:pPr>
      <w:r w:rsidRPr="00CB5573">
        <w:rPr>
          <w:rStyle w:val="Refdenotaderodap"/>
          <w:rFonts w:cs="Times New Roman"/>
        </w:rPr>
        <w:footnoteRef/>
      </w:r>
      <w:r w:rsidRPr="00CB5573">
        <w:rPr>
          <w:rFonts w:cs="Times New Roman"/>
          <w:lang w:val="de-DE"/>
        </w:rPr>
        <w:t xml:space="preserve"> </w:t>
      </w:r>
      <w:r w:rsidR="00765CB1" w:rsidRPr="00CB5573">
        <w:rPr>
          <w:rFonts w:cs="Times New Roman"/>
          <w:lang w:val="de-DE"/>
        </w:rPr>
        <w:t xml:space="preserve">Cf. </w:t>
      </w:r>
      <w:r w:rsidRPr="00CB5573">
        <w:rPr>
          <w:rFonts w:cs="Times New Roman"/>
          <w:lang w:val="de-DE"/>
        </w:rPr>
        <w:t xml:space="preserve">Brecht, </w:t>
      </w:r>
      <w:r w:rsidR="007D3B27" w:rsidRPr="00CB5573">
        <w:rPr>
          <w:rFonts w:cs="Times New Roman"/>
          <w:lang w:val="de-DE"/>
        </w:rPr>
        <w:t xml:space="preserve">1967, </w:t>
      </w:r>
      <w:r w:rsidR="009C2890">
        <w:rPr>
          <w:rFonts w:cs="Times New Roman"/>
          <w:lang w:val="de-DE"/>
        </w:rPr>
        <w:t>p</w:t>
      </w:r>
      <w:r w:rsidRPr="00CB5573">
        <w:rPr>
          <w:rFonts w:cs="Times New Roman"/>
          <w:lang w:val="de-DE"/>
        </w:rPr>
        <w:t>. 245</w:t>
      </w:r>
      <w:r w:rsidR="007D3B27" w:rsidRPr="00CB5573">
        <w:rPr>
          <w:rFonts w:cs="Times New Roman"/>
          <w:lang w:val="de-DE"/>
        </w:rPr>
        <w:t xml:space="preserve"> e 300.</w:t>
      </w:r>
    </w:p>
  </w:footnote>
  <w:footnote w:id="23">
    <w:p w14:paraId="4733DFB9" w14:textId="23070E95" w:rsidR="007D7F2E" w:rsidRPr="00CB5573" w:rsidRDefault="007D7F2E" w:rsidP="00CB5573">
      <w:pPr>
        <w:pStyle w:val="Textodenotaderodap"/>
        <w:rPr>
          <w:rFonts w:cs="Times New Roman"/>
        </w:rPr>
      </w:pPr>
      <w:r w:rsidRPr="00CB5573">
        <w:rPr>
          <w:rStyle w:val="Refdenotaderodap"/>
          <w:rFonts w:cs="Times New Roman"/>
        </w:rPr>
        <w:footnoteRef/>
      </w:r>
      <w:r w:rsidRPr="00CB5573">
        <w:rPr>
          <w:rFonts w:cs="Times New Roman"/>
        </w:rPr>
        <w:t xml:space="preserve"> </w:t>
      </w:r>
      <w:r w:rsidR="00D6688B" w:rsidRPr="00CB5573">
        <w:rPr>
          <w:rFonts w:cs="Times New Roman"/>
        </w:rPr>
        <w:t xml:space="preserve">Cf. Benjamin, 1991a, </w:t>
      </w:r>
      <w:r w:rsidR="009C2890">
        <w:rPr>
          <w:rFonts w:cs="Times New Roman"/>
        </w:rPr>
        <w:t>p</w:t>
      </w:r>
      <w:r w:rsidR="00D6688B" w:rsidRPr="00CB5573">
        <w:rPr>
          <w:rFonts w:cs="Times New Roman"/>
        </w:rPr>
        <w:t>. 697, 1242, 1236 e 1246.</w:t>
      </w:r>
    </w:p>
  </w:footnote>
  <w:footnote w:id="24">
    <w:p w14:paraId="13880CD0" w14:textId="549634A6" w:rsidR="007D7F2E" w:rsidRPr="00CB5573" w:rsidRDefault="007D7F2E" w:rsidP="00CB5573">
      <w:pPr>
        <w:pStyle w:val="Textodenotaderodap"/>
        <w:rPr>
          <w:rFonts w:cs="Times New Roman"/>
        </w:rPr>
      </w:pPr>
      <w:r w:rsidRPr="00CB5573">
        <w:rPr>
          <w:rStyle w:val="Refdenotaderodap"/>
          <w:rFonts w:cs="Times New Roman"/>
        </w:rPr>
        <w:footnoteRef/>
      </w:r>
      <w:r w:rsidRPr="00CB5573">
        <w:rPr>
          <w:rFonts w:cs="Times New Roman"/>
        </w:rPr>
        <w:t xml:space="preserve"> </w:t>
      </w:r>
      <w:r w:rsidR="00981AB5" w:rsidRPr="00CB5573">
        <w:rPr>
          <w:rFonts w:cs="Times New Roman"/>
        </w:rPr>
        <w:t>Por oposição, sobretudo</w:t>
      </w:r>
      <w:r w:rsidR="00F75CE6" w:rsidRPr="00CB5573">
        <w:rPr>
          <w:rFonts w:cs="Times New Roman"/>
        </w:rPr>
        <w:t>,</w:t>
      </w:r>
      <w:r w:rsidR="00981AB5" w:rsidRPr="00CB5573">
        <w:rPr>
          <w:rFonts w:cs="Times New Roman"/>
        </w:rPr>
        <w:t xml:space="preserve"> a “aditivo”, que seria o princípio da “história universal”</w:t>
      </w:r>
      <w:r w:rsidR="00F75CE6" w:rsidRPr="00CB5573">
        <w:rPr>
          <w:rFonts w:cs="Times New Roman"/>
        </w:rPr>
        <w:t xml:space="preserve"> do historicismo (c</w:t>
      </w:r>
      <w:r w:rsidRPr="00CB5573">
        <w:rPr>
          <w:rFonts w:cs="Times New Roman"/>
        </w:rPr>
        <w:t xml:space="preserve">f. Benjamin, </w:t>
      </w:r>
      <w:r w:rsidR="00D6688B" w:rsidRPr="00CB5573">
        <w:rPr>
          <w:rFonts w:cs="Times New Roman"/>
        </w:rPr>
        <w:t xml:space="preserve">1991a, </w:t>
      </w:r>
      <w:r w:rsidR="009C2890">
        <w:rPr>
          <w:rFonts w:cs="Times New Roman"/>
        </w:rPr>
        <w:t>p</w:t>
      </w:r>
      <w:r w:rsidRPr="00CB5573">
        <w:rPr>
          <w:rFonts w:cs="Times New Roman"/>
        </w:rPr>
        <w:t>. 702, 1240 e 1257</w:t>
      </w:r>
      <w:r w:rsidR="00F75CE6" w:rsidRPr="00CB5573">
        <w:rPr>
          <w:rFonts w:cs="Times New Roman"/>
        </w:rPr>
        <w:t>)</w:t>
      </w:r>
      <w:r w:rsidRPr="00CB5573">
        <w:rPr>
          <w:rFonts w:cs="Times New Roman"/>
        </w:rPr>
        <w:t>.</w:t>
      </w:r>
    </w:p>
  </w:footnote>
  <w:footnote w:id="25">
    <w:p w14:paraId="61DDB0CC" w14:textId="36B0718C" w:rsidR="00380F03" w:rsidRPr="00CB5573" w:rsidRDefault="00380F03" w:rsidP="00CB5573">
      <w:pPr>
        <w:pStyle w:val="Textodenotaderodap"/>
        <w:rPr>
          <w:rFonts w:cs="Times New Roman"/>
        </w:rPr>
      </w:pPr>
      <w:r w:rsidRPr="00CB5573">
        <w:rPr>
          <w:rStyle w:val="Refdenotaderodap"/>
          <w:rFonts w:cs="Times New Roman"/>
        </w:rPr>
        <w:footnoteRef/>
      </w:r>
      <w:r w:rsidRPr="00CB5573">
        <w:rPr>
          <w:rFonts w:cs="Times New Roman"/>
        </w:rPr>
        <w:t xml:space="preserve"> Nas Teses, Benjamin critica tanto o historicismo conservador, representado por </w:t>
      </w:r>
      <w:bookmarkStart w:id="8" w:name="_Hlk231028188"/>
      <w:proofErr w:type="spellStart"/>
      <w:r w:rsidRPr="00CB5573">
        <w:rPr>
          <w:rFonts w:cs="Times New Roman"/>
        </w:rPr>
        <w:t>Fustel</w:t>
      </w:r>
      <w:proofErr w:type="spellEnd"/>
      <w:r w:rsidRPr="00CB5573">
        <w:rPr>
          <w:rFonts w:cs="Times New Roman"/>
        </w:rPr>
        <w:t xml:space="preserve"> de </w:t>
      </w:r>
      <w:proofErr w:type="spellStart"/>
      <w:r w:rsidRPr="00CB5573">
        <w:rPr>
          <w:rFonts w:cs="Times New Roman"/>
        </w:rPr>
        <w:t>Coulanges</w:t>
      </w:r>
      <w:proofErr w:type="spellEnd"/>
      <w:r w:rsidRPr="00CB5573">
        <w:rPr>
          <w:rFonts w:cs="Times New Roman"/>
        </w:rPr>
        <w:t xml:space="preserve"> </w:t>
      </w:r>
      <w:bookmarkEnd w:id="8"/>
      <w:r w:rsidRPr="00CB5573">
        <w:rPr>
          <w:rFonts w:cs="Times New Roman"/>
        </w:rPr>
        <w:t xml:space="preserve">e Flaubert (no romance </w:t>
      </w:r>
      <w:proofErr w:type="spellStart"/>
      <w:r w:rsidRPr="00CB5573">
        <w:rPr>
          <w:rFonts w:cs="Times New Roman"/>
        </w:rPr>
        <w:t>Salambô</w:t>
      </w:r>
      <w:proofErr w:type="spellEnd"/>
      <w:r w:rsidRPr="00CB5573">
        <w:rPr>
          <w:rFonts w:cs="Times New Roman"/>
        </w:rPr>
        <w:t xml:space="preserve">), como o historicismo progressista, representado por Joseph </w:t>
      </w:r>
      <w:proofErr w:type="spellStart"/>
      <w:r w:rsidRPr="00CB5573">
        <w:rPr>
          <w:rFonts w:cs="Times New Roman"/>
        </w:rPr>
        <w:t>Dietzgen</w:t>
      </w:r>
      <w:proofErr w:type="spellEnd"/>
      <w:r w:rsidRPr="00CB5573">
        <w:rPr>
          <w:rFonts w:cs="Times New Roman"/>
        </w:rPr>
        <w:t xml:space="preserve"> e pelo marxismo da Segunda Internacional.</w:t>
      </w:r>
    </w:p>
  </w:footnote>
  <w:footnote w:id="26">
    <w:p w14:paraId="12F828FA" w14:textId="79DAB8EE" w:rsidR="009C258B" w:rsidRPr="00CB5573" w:rsidRDefault="009C258B" w:rsidP="00CB5573">
      <w:pPr>
        <w:pStyle w:val="Textodenotaderodap"/>
        <w:rPr>
          <w:rFonts w:cs="Times New Roman"/>
        </w:rPr>
      </w:pPr>
      <w:r w:rsidRPr="00CB5573">
        <w:rPr>
          <w:rStyle w:val="Refdenotaderodap"/>
          <w:rFonts w:cs="Times New Roman"/>
        </w:rPr>
        <w:footnoteRef/>
      </w:r>
      <w:r w:rsidRPr="00CB5573">
        <w:rPr>
          <w:rFonts w:cs="Times New Roman"/>
        </w:rPr>
        <w:t xml:space="preserve"> Na vasta literatura sobre o tema, ver, por exemplo, o verbete que Thomas Weber escreveu para o “dicionário” benjaminiano editado por </w:t>
      </w:r>
      <w:r w:rsidR="00795B20" w:rsidRPr="00CB5573">
        <w:rPr>
          <w:rFonts w:cs="Times New Roman"/>
        </w:rPr>
        <w:t xml:space="preserve">Michael </w:t>
      </w:r>
      <w:proofErr w:type="spellStart"/>
      <w:r w:rsidRPr="00CB5573">
        <w:rPr>
          <w:rFonts w:cs="Times New Roman"/>
        </w:rPr>
        <w:t>Opitz</w:t>
      </w:r>
      <w:proofErr w:type="spellEnd"/>
      <w:r w:rsidRPr="00CB5573">
        <w:rPr>
          <w:rFonts w:cs="Times New Roman"/>
        </w:rPr>
        <w:t xml:space="preserve"> e</w:t>
      </w:r>
      <w:r w:rsidR="00795B20" w:rsidRPr="00CB5573">
        <w:rPr>
          <w:rFonts w:cs="Times New Roman"/>
        </w:rPr>
        <w:t xml:space="preserve"> </w:t>
      </w:r>
      <w:proofErr w:type="spellStart"/>
      <w:r w:rsidR="00795B20" w:rsidRPr="00CB5573">
        <w:rPr>
          <w:rFonts w:cs="Times New Roman"/>
        </w:rPr>
        <w:t>Erdmut</w:t>
      </w:r>
      <w:proofErr w:type="spellEnd"/>
      <w:r w:rsidRPr="00CB5573">
        <w:rPr>
          <w:rFonts w:cs="Times New Roman"/>
        </w:rPr>
        <w:t xml:space="preserve"> </w:t>
      </w:r>
      <w:proofErr w:type="spellStart"/>
      <w:r w:rsidRPr="00CB5573">
        <w:rPr>
          <w:rFonts w:cs="Times New Roman"/>
        </w:rPr>
        <w:t>Wizisla</w:t>
      </w:r>
      <w:proofErr w:type="spellEnd"/>
      <w:r w:rsidRPr="00CB5573">
        <w:rPr>
          <w:rFonts w:cs="Times New Roman"/>
        </w:rPr>
        <w:t xml:space="preserve"> (2000).</w:t>
      </w:r>
    </w:p>
  </w:footnote>
  <w:footnote w:id="27">
    <w:p w14:paraId="406C7BA4" w14:textId="404B9011" w:rsidR="00861CC6" w:rsidRPr="00CB5573" w:rsidRDefault="00861CC6" w:rsidP="00CB5573">
      <w:pPr>
        <w:pStyle w:val="Textodenotaderodap"/>
        <w:rPr>
          <w:rFonts w:cs="Times New Roman"/>
        </w:rPr>
      </w:pPr>
      <w:r w:rsidRPr="00CB5573">
        <w:rPr>
          <w:rStyle w:val="Refdenotaderodap"/>
          <w:rFonts w:cs="Times New Roman"/>
        </w:rPr>
        <w:footnoteRef/>
      </w:r>
      <w:r w:rsidRPr="00CB5573">
        <w:rPr>
          <w:rFonts w:cs="Times New Roman"/>
        </w:rPr>
        <w:t xml:space="preserve"> Referimo-nos ao ensaio “Experiência e pobreza”, publicado neste ano.</w:t>
      </w:r>
    </w:p>
  </w:footnote>
  <w:footnote w:id="28">
    <w:p w14:paraId="6B7BA4B5" w14:textId="0A0507C4" w:rsidR="001A13DE" w:rsidRPr="00CB5573" w:rsidRDefault="001A13DE" w:rsidP="00CB5573">
      <w:pPr>
        <w:pStyle w:val="Textodenotaderodap"/>
        <w:rPr>
          <w:rFonts w:cs="Times New Roman"/>
        </w:rPr>
      </w:pPr>
      <w:r w:rsidRPr="00CB5573">
        <w:rPr>
          <w:rStyle w:val="Refdenotaderodap"/>
          <w:rFonts w:cs="Times New Roman"/>
        </w:rPr>
        <w:footnoteRef/>
      </w:r>
      <w:r w:rsidRPr="00CB5573">
        <w:rPr>
          <w:rFonts w:cs="Times New Roman"/>
        </w:rPr>
        <w:t xml:space="preserve"> O fato de que </w:t>
      </w:r>
      <w:proofErr w:type="spellStart"/>
      <w:r w:rsidRPr="00CB5573">
        <w:rPr>
          <w:rFonts w:cs="Times New Roman"/>
        </w:rPr>
        <w:t>Dilthey</w:t>
      </w:r>
      <w:proofErr w:type="spellEnd"/>
      <w:r w:rsidRPr="00CB5573">
        <w:rPr>
          <w:rFonts w:cs="Times New Roman"/>
        </w:rPr>
        <w:t xml:space="preserve"> usa a noção de “</w:t>
      </w:r>
      <w:proofErr w:type="spellStart"/>
      <w:r w:rsidRPr="00CB5573">
        <w:rPr>
          <w:rFonts w:cs="Times New Roman"/>
        </w:rPr>
        <w:t>revivenciar</w:t>
      </w:r>
      <w:proofErr w:type="spellEnd"/>
      <w:r w:rsidRPr="00CB5573">
        <w:rPr>
          <w:rFonts w:cs="Times New Roman"/>
        </w:rPr>
        <w:t xml:space="preserve">” como equivalente a “compreender” pode ser atestado, por exemplo, por um trecho de uma de suas obras mais conhecidas (“A construção do mundo histórico nas ciências humanas”, </w:t>
      </w:r>
      <w:proofErr w:type="spellStart"/>
      <w:r w:rsidRPr="00CB5573">
        <w:rPr>
          <w:rFonts w:cs="Times New Roman"/>
          <w:i/>
          <w:iCs/>
        </w:rPr>
        <w:t>circa</w:t>
      </w:r>
      <w:proofErr w:type="spellEnd"/>
      <w:r w:rsidRPr="00CB5573">
        <w:rPr>
          <w:rFonts w:cs="Times New Roman"/>
          <w:i/>
          <w:iCs/>
        </w:rPr>
        <w:t xml:space="preserve"> </w:t>
      </w:r>
      <w:r w:rsidRPr="00CB5573">
        <w:rPr>
          <w:rFonts w:cs="Times New Roman"/>
        </w:rPr>
        <w:t xml:space="preserve">1910): “A compreensão é, em si mesma, uma operação inversa ao curso efetivo do acontecer. Um pleno </w:t>
      </w:r>
      <w:proofErr w:type="spellStart"/>
      <w:r w:rsidRPr="00CB5573">
        <w:rPr>
          <w:rFonts w:cs="Times New Roman"/>
        </w:rPr>
        <w:t>revivenciar</w:t>
      </w:r>
      <w:proofErr w:type="spellEnd"/>
      <w:r w:rsidRPr="00CB5573">
        <w:rPr>
          <w:rFonts w:cs="Times New Roman"/>
        </w:rPr>
        <w:t xml:space="preserve"> [</w:t>
      </w:r>
      <w:proofErr w:type="spellStart"/>
      <w:r w:rsidRPr="00CB5573">
        <w:rPr>
          <w:rFonts w:cs="Times New Roman"/>
          <w:i/>
          <w:iCs/>
        </w:rPr>
        <w:t>nacherleben</w:t>
      </w:r>
      <w:proofErr w:type="spellEnd"/>
      <w:r w:rsidRPr="00CB5573">
        <w:rPr>
          <w:rFonts w:cs="Times New Roman"/>
        </w:rPr>
        <w:t>] requer que a compreensão caminhe na linha mesma do acontecer. [...] Assim avançamos junto com a história mesma, com um acontecimento de um país distante ou com algo que sucede na alma de uma pessoa próxima a nós. A perfeição se obtém quando o evento passou através da consciência do poeta, do artista ou do historiador e se encontra agora diante de nós permanentemente fixado em uma obra”. (</w:t>
      </w:r>
      <w:proofErr w:type="spellStart"/>
      <w:r w:rsidRPr="00CB5573">
        <w:rPr>
          <w:rFonts w:cs="Times New Roman"/>
        </w:rPr>
        <w:t>Dilthey</w:t>
      </w:r>
      <w:proofErr w:type="spellEnd"/>
      <w:r w:rsidRPr="00CB5573">
        <w:rPr>
          <w:rFonts w:cs="Times New Roman"/>
        </w:rPr>
        <w:t>, 1965, p. 280).</w:t>
      </w:r>
    </w:p>
  </w:footnote>
  <w:footnote w:id="29">
    <w:p w14:paraId="49C8BD09" w14:textId="2C793A52" w:rsidR="00CB5573" w:rsidRPr="00CB5573" w:rsidRDefault="007B1A58" w:rsidP="00CB5573">
      <w:pPr>
        <w:pStyle w:val="Textodenotaderodap"/>
        <w:rPr>
          <w:rFonts w:cs="Times New Roman"/>
          <w:color w:val="auto"/>
        </w:rPr>
      </w:pPr>
      <w:r w:rsidRPr="00CB5573">
        <w:rPr>
          <w:rStyle w:val="Refdenotaderodap"/>
          <w:rFonts w:cs="Times New Roman"/>
        </w:rPr>
        <w:footnoteRef/>
      </w:r>
      <w:r w:rsidRPr="00CB5573">
        <w:rPr>
          <w:rFonts w:cs="Times New Roman"/>
        </w:rPr>
        <w:t xml:space="preserve"> Sobre </w:t>
      </w:r>
      <w:r w:rsidR="009452D5" w:rsidRPr="00CB5573">
        <w:rPr>
          <w:rFonts w:cs="Times New Roman"/>
        </w:rPr>
        <w:t>a noção de</w:t>
      </w:r>
      <w:r w:rsidRPr="00CB5573">
        <w:rPr>
          <w:rFonts w:cs="Times New Roman"/>
        </w:rPr>
        <w:t xml:space="preserve"> “comum” em </w:t>
      </w:r>
      <w:proofErr w:type="spellStart"/>
      <w:r w:rsidRPr="00CB5573">
        <w:rPr>
          <w:rFonts w:cs="Times New Roman"/>
        </w:rPr>
        <w:t>Dilthey</w:t>
      </w:r>
      <w:proofErr w:type="spellEnd"/>
      <w:r w:rsidRPr="00CB5573">
        <w:rPr>
          <w:rFonts w:cs="Times New Roman"/>
        </w:rPr>
        <w:t xml:space="preserve">, </w:t>
      </w:r>
      <w:r w:rsidR="007D3E43" w:rsidRPr="00CB5573">
        <w:rPr>
          <w:rFonts w:cs="Times New Roman"/>
        </w:rPr>
        <w:t>cf.</w:t>
      </w:r>
      <w:r w:rsidRPr="00CB5573">
        <w:rPr>
          <w:rFonts w:cs="Times New Roman"/>
        </w:rPr>
        <w:t xml:space="preserve"> Amaral, 2004, </w:t>
      </w:r>
      <w:r w:rsidR="009C2890">
        <w:rPr>
          <w:rFonts w:cs="Times New Roman"/>
        </w:rPr>
        <w:t>p</w:t>
      </w:r>
      <w:r w:rsidRPr="00CB5573">
        <w:rPr>
          <w:rFonts w:cs="Times New Roman"/>
        </w:rPr>
        <w:t>. 55-57.</w:t>
      </w:r>
    </w:p>
  </w:footnote>
  <w:footnote w:id="30">
    <w:p w14:paraId="15A04F40" w14:textId="0707D84A" w:rsidR="00B07641" w:rsidRPr="00CB5573" w:rsidRDefault="00B07641" w:rsidP="00CB5573">
      <w:pPr>
        <w:pStyle w:val="Textodenotaderodap"/>
        <w:rPr>
          <w:rFonts w:cs="Times New Roman"/>
        </w:rPr>
      </w:pPr>
      <w:r w:rsidRPr="00CB5573">
        <w:rPr>
          <w:rStyle w:val="Refdenotaderodap"/>
          <w:rFonts w:cs="Times New Roman"/>
        </w:rPr>
        <w:footnoteRef/>
      </w:r>
      <w:r w:rsidRPr="00CB5573">
        <w:rPr>
          <w:rFonts w:cs="Times New Roman"/>
        </w:rPr>
        <w:t xml:space="preserve"> Sobre a possibilidade de que Benjamin tenha conhecido o </w:t>
      </w:r>
      <w:r w:rsidRPr="00CB5573">
        <w:rPr>
          <w:rFonts w:cs="Times New Roman"/>
          <w:i/>
          <w:iCs/>
        </w:rPr>
        <w:t>Tractatus</w:t>
      </w:r>
      <w:r w:rsidRPr="00CB5573">
        <w:rPr>
          <w:rFonts w:cs="Times New Roman"/>
        </w:rPr>
        <w:t xml:space="preserve"> de Wittgenstein, cf. </w:t>
      </w:r>
      <w:proofErr w:type="spellStart"/>
      <w:r w:rsidR="00A84372" w:rsidRPr="00CB5573">
        <w:rPr>
          <w:rFonts w:cs="Times New Roman"/>
        </w:rPr>
        <w:t>Schöttker</w:t>
      </w:r>
      <w:proofErr w:type="spellEnd"/>
      <w:r w:rsidR="00A84372" w:rsidRPr="00CB5573">
        <w:rPr>
          <w:rFonts w:cs="Times New Roman"/>
        </w:rPr>
        <w:t>, 2008.</w:t>
      </w:r>
    </w:p>
  </w:footnote>
  <w:footnote w:id="31">
    <w:p w14:paraId="7A32A50C" w14:textId="682AAE3C" w:rsidR="00B07641" w:rsidRPr="00CB5573" w:rsidRDefault="00B07641" w:rsidP="00CB5573">
      <w:pPr>
        <w:pStyle w:val="Textodenotaderodap"/>
        <w:rPr>
          <w:rFonts w:cs="Times New Roman"/>
          <w:lang w:val="es-ES"/>
        </w:rPr>
      </w:pPr>
      <w:r w:rsidRPr="00CB5573">
        <w:rPr>
          <w:rStyle w:val="Refdenotaderodap"/>
          <w:rFonts w:cs="Times New Roman"/>
        </w:rPr>
        <w:footnoteRef/>
      </w:r>
      <w:r w:rsidRPr="00CB5573">
        <w:rPr>
          <w:rFonts w:cs="Times New Roman"/>
          <w:lang w:val="es-ES"/>
        </w:rPr>
        <w:t xml:space="preserve"> </w:t>
      </w:r>
      <w:proofErr w:type="spellStart"/>
      <w:r w:rsidRPr="00CB5573">
        <w:rPr>
          <w:rFonts w:cs="Times New Roman"/>
          <w:lang w:val="es-ES"/>
        </w:rPr>
        <w:t>Benjamin</w:t>
      </w:r>
      <w:proofErr w:type="spellEnd"/>
      <w:r w:rsidRPr="00CB5573">
        <w:rPr>
          <w:rFonts w:cs="Times New Roman"/>
          <w:lang w:val="es-ES"/>
        </w:rPr>
        <w:t>,</w:t>
      </w:r>
      <w:r w:rsidR="008526C3" w:rsidRPr="00CB5573">
        <w:rPr>
          <w:rFonts w:cs="Times New Roman"/>
          <w:lang w:val="es-ES"/>
        </w:rPr>
        <w:t xml:space="preserve"> 1991d, p. 108.</w:t>
      </w:r>
    </w:p>
  </w:footnote>
  <w:footnote w:id="32">
    <w:p w14:paraId="2213C72A" w14:textId="431092E1" w:rsidR="00A558E6" w:rsidRPr="00CB5573" w:rsidRDefault="00A558E6" w:rsidP="00CB5573">
      <w:pPr>
        <w:pStyle w:val="Textodenotaderodap"/>
        <w:rPr>
          <w:rFonts w:cs="Times New Roman"/>
          <w:lang w:val="es-ES"/>
        </w:rPr>
      </w:pPr>
      <w:r w:rsidRPr="00CB5573">
        <w:rPr>
          <w:rStyle w:val="Refdenotaderodap"/>
          <w:rFonts w:cs="Times New Roman"/>
        </w:rPr>
        <w:footnoteRef/>
      </w:r>
      <w:r w:rsidRPr="00CB5573">
        <w:rPr>
          <w:rFonts w:cs="Times New Roman"/>
          <w:lang w:val="es-ES"/>
        </w:rPr>
        <w:t xml:space="preserve"> Ver nota </w:t>
      </w:r>
      <w:r w:rsidR="005F0155" w:rsidRPr="00CB5573">
        <w:rPr>
          <w:rFonts w:cs="Times New Roman"/>
          <w:lang w:val="es-ES"/>
        </w:rPr>
        <w:t>26.</w:t>
      </w:r>
    </w:p>
  </w:footnote>
  <w:footnote w:id="33">
    <w:p w14:paraId="1B1F2917" w14:textId="20EA9BEF" w:rsidR="00E30008" w:rsidRPr="00CB5573" w:rsidRDefault="006B0170" w:rsidP="00CB5573">
      <w:pPr>
        <w:pStyle w:val="SemEspaamento"/>
        <w:jc w:val="both"/>
        <w:rPr>
          <w:rFonts w:ascii="Times New Roman" w:hAnsi="Times New Roman" w:cs="Times New Roman"/>
          <w:sz w:val="20"/>
          <w:szCs w:val="20"/>
        </w:rPr>
      </w:pPr>
      <w:r w:rsidRPr="00CB5573">
        <w:rPr>
          <w:rStyle w:val="Refdenotaderodap"/>
          <w:rFonts w:ascii="Times New Roman" w:hAnsi="Times New Roman" w:cs="Times New Roman"/>
          <w:sz w:val="20"/>
          <w:szCs w:val="20"/>
        </w:rPr>
        <w:footnoteRef/>
      </w:r>
      <w:r w:rsidRPr="00CB5573">
        <w:rPr>
          <w:rFonts w:ascii="Times New Roman" w:hAnsi="Times New Roman" w:cs="Times New Roman"/>
          <w:sz w:val="20"/>
          <w:szCs w:val="20"/>
        </w:rPr>
        <w:t xml:space="preserve"> Cf. Benjamin, 2010, p. 92.</w:t>
      </w:r>
    </w:p>
  </w:footnote>
  <w:footnote w:id="34">
    <w:p w14:paraId="78F22B05" w14:textId="5DA7881C" w:rsidR="00363890" w:rsidRPr="00CB5573" w:rsidRDefault="00363890" w:rsidP="00CB5573">
      <w:pPr>
        <w:pStyle w:val="Textodenotaderodap"/>
        <w:rPr>
          <w:rFonts w:cs="Times New Roman"/>
        </w:rPr>
      </w:pPr>
      <w:r w:rsidRPr="00CB5573">
        <w:rPr>
          <w:rStyle w:val="Refdenotaderodap"/>
          <w:rFonts w:cs="Times New Roman"/>
        </w:rPr>
        <w:footnoteRef/>
      </w:r>
      <w:r w:rsidRPr="00CB5573">
        <w:rPr>
          <w:rFonts w:cs="Times New Roman"/>
        </w:rPr>
        <w:t xml:space="preserve"> </w:t>
      </w:r>
      <w:proofErr w:type="spellStart"/>
      <w:r w:rsidR="00974264" w:rsidRPr="00CB5573">
        <w:rPr>
          <w:rFonts w:eastAsia="Calibri" w:cs="Times New Roman"/>
        </w:rPr>
        <w:t>Dilthey</w:t>
      </w:r>
      <w:proofErr w:type="spellEnd"/>
      <w:r w:rsidR="00974264" w:rsidRPr="00CB5573">
        <w:rPr>
          <w:rFonts w:eastAsia="Calibri" w:cs="Times New Roman"/>
        </w:rPr>
        <w:t xml:space="preserve"> tinha suas razões para usar o termo “revivência” em vez do termo “empatia”; basicamente, para distanciar-se dos psicólogos que utilizavam o termo, como Li</w:t>
      </w:r>
      <w:r w:rsidR="009C2890">
        <w:rPr>
          <w:rFonts w:eastAsia="Calibri" w:cs="Times New Roman"/>
        </w:rPr>
        <w:t>p</w:t>
      </w:r>
      <w:r w:rsidR="00974264" w:rsidRPr="00CB5573">
        <w:rPr>
          <w:rFonts w:eastAsia="Calibri" w:cs="Times New Roman"/>
        </w:rPr>
        <w:t>s e Geiger. Cf. Gallagher, 2019.</w:t>
      </w:r>
    </w:p>
  </w:footnote>
  <w:footnote w:id="35">
    <w:p w14:paraId="0959F936" w14:textId="53211B26" w:rsidR="00E84D66" w:rsidRPr="00CB5573" w:rsidRDefault="00E84D66" w:rsidP="00CB5573">
      <w:pPr>
        <w:pStyle w:val="Textodenotaderodap"/>
      </w:pPr>
      <w:r w:rsidRPr="00CB5573">
        <w:rPr>
          <w:rStyle w:val="Refdenotaderodap"/>
        </w:rPr>
        <w:footnoteRef/>
      </w:r>
      <w:r w:rsidRPr="00CB5573">
        <w:t xml:space="preserve"> </w:t>
      </w:r>
      <w:r w:rsidRPr="00CB5573">
        <w:rPr>
          <w:rFonts w:cs="Times New Roman"/>
        </w:rPr>
        <w:t>Cf. Nelson, 2018, p. 12.</w:t>
      </w:r>
    </w:p>
  </w:footnote>
  <w:footnote w:id="36">
    <w:p w14:paraId="4BBF3524" w14:textId="1F8F509E" w:rsidR="001F46EE" w:rsidRPr="00CB5573" w:rsidRDefault="001F46EE" w:rsidP="00CB5573">
      <w:pPr>
        <w:pStyle w:val="Textodenotaderodap"/>
        <w:rPr>
          <w:rFonts w:cs="Times New Roman"/>
        </w:rPr>
      </w:pPr>
      <w:r w:rsidRPr="00CB5573">
        <w:rPr>
          <w:rStyle w:val="Refdenotaderodap"/>
          <w:rFonts w:cs="Times New Roman"/>
        </w:rPr>
        <w:footnoteRef/>
      </w:r>
      <w:r w:rsidRPr="00CB5573">
        <w:rPr>
          <w:rFonts w:cs="Times New Roman"/>
        </w:rPr>
        <w:t xml:space="preserve"> </w:t>
      </w:r>
      <w:r w:rsidR="00890524" w:rsidRPr="00CB5573">
        <w:rPr>
          <w:rFonts w:cs="Times New Roman"/>
        </w:rPr>
        <w:t>Cf. De Mul, 2019.</w:t>
      </w:r>
    </w:p>
  </w:footnote>
  <w:footnote w:id="37">
    <w:p w14:paraId="2F8244DD" w14:textId="620CB5F8" w:rsidR="00CB5573" w:rsidRPr="00CB5573" w:rsidRDefault="00B343AF" w:rsidP="00CB5573">
      <w:pPr>
        <w:pStyle w:val="Textodenotaderodap"/>
        <w:rPr>
          <w:rFonts w:cs="Times New Roman"/>
        </w:rPr>
      </w:pPr>
      <w:r w:rsidRPr="00CB5573">
        <w:rPr>
          <w:rStyle w:val="Refdenotaderodap"/>
          <w:rFonts w:cs="Times New Roman"/>
        </w:rPr>
        <w:footnoteRef/>
      </w:r>
      <w:r w:rsidR="007901F5" w:rsidRPr="00CB5573">
        <w:rPr>
          <w:rFonts w:cs="Times New Roman"/>
        </w:rPr>
        <w:t xml:space="preserve"> </w:t>
      </w:r>
      <w:r w:rsidR="00FF63BA" w:rsidRPr="00CB5573">
        <w:rPr>
          <w:rFonts w:cs="Times New Roman"/>
        </w:rPr>
        <w:t xml:space="preserve">Benjamin, </w:t>
      </w:r>
      <w:r w:rsidR="00330D82" w:rsidRPr="00CB5573">
        <w:rPr>
          <w:rFonts w:cs="Times New Roman"/>
        </w:rPr>
        <w:t>1991a</w:t>
      </w:r>
      <w:r w:rsidR="007901F5" w:rsidRPr="00CB5573">
        <w:rPr>
          <w:rFonts w:cs="Times New Roman"/>
        </w:rPr>
        <w:t>, p. 6</w:t>
      </w:r>
      <w:r w:rsidR="00330D82" w:rsidRPr="00CB5573">
        <w:rPr>
          <w:rFonts w:cs="Times New Roman"/>
        </w:rPr>
        <w:t>11.</w:t>
      </w:r>
    </w:p>
  </w:footnote>
  <w:footnote w:id="38">
    <w:p w14:paraId="1DCE57E5" w14:textId="6681F980" w:rsidR="00086AF4" w:rsidRPr="00CB5573" w:rsidRDefault="00086AF4" w:rsidP="00CB5573">
      <w:pPr>
        <w:pStyle w:val="Textodenotaderodap"/>
        <w:rPr>
          <w:rFonts w:cs="Times New Roman"/>
        </w:rPr>
      </w:pPr>
      <w:r w:rsidRPr="00CB5573">
        <w:rPr>
          <w:rStyle w:val="Refdenotaderodap"/>
          <w:rFonts w:cs="Times New Roman"/>
        </w:rPr>
        <w:footnoteRef/>
      </w:r>
      <w:r w:rsidRPr="00CB5573">
        <w:rPr>
          <w:rFonts w:cs="Times New Roman"/>
        </w:rPr>
        <w:t xml:space="preserve"> </w:t>
      </w:r>
      <w:r w:rsidR="00B50238" w:rsidRPr="00CB5573">
        <w:rPr>
          <w:rFonts w:cs="Times New Roman"/>
        </w:rPr>
        <w:t>Sobre est</w:t>
      </w:r>
      <w:r w:rsidR="00963A1D" w:rsidRPr="00CB5573">
        <w:rPr>
          <w:rFonts w:cs="Times New Roman"/>
        </w:rPr>
        <w:t>e ponto</w:t>
      </w:r>
      <w:r w:rsidR="00B50238" w:rsidRPr="00CB5573">
        <w:rPr>
          <w:rFonts w:cs="Times New Roman"/>
        </w:rPr>
        <w:t>, ver, por exemplo</w:t>
      </w:r>
      <w:r w:rsidR="00963A1D" w:rsidRPr="00CB5573">
        <w:rPr>
          <w:rFonts w:cs="Times New Roman"/>
        </w:rPr>
        <w:t>,</w:t>
      </w:r>
      <w:r w:rsidR="00B50238" w:rsidRPr="00CB5573">
        <w:rPr>
          <w:rFonts w:cs="Times New Roman"/>
        </w:rPr>
        <w:t xml:space="preserve"> </w:t>
      </w:r>
      <w:proofErr w:type="spellStart"/>
      <w:r w:rsidR="00B50238" w:rsidRPr="00CB5573">
        <w:rPr>
          <w:rFonts w:cs="Times New Roman"/>
        </w:rPr>
        <w:t>Greffrath</w:t>
      </w:r>
      <w:proofErr w:type="spellEnd"/>
      <w:r w:rsidR="00B50238" w:rsidRPr="00CB5573">
        <w:rPr>
          <w:rFonts w:cs="Times New Roman"/>
        </w:rPr>
        <w:t>, 1981</w:t>
      </w:r>
      <w:r w:rsidR="00963A1D" w:rsidRPr="00CB5573">
        <w:rPr>
          <w:rFonts w:cs="Times New Roman"/>
        </w:rPr>
        <w:t>.</w:t>
      </w:r>
    </w:p>
  </w:footnote>
  <w:footnote w:id="39">
    <w:p w14:paraId="49C545DA" w14:textId="7E8C8D48" w:rsidR="00DE285F" w:rsidRPr="00CB5573" w:rsidRDefault="00BE6BFB" w:rsidP="00CB5573">
      <w:pPr>
        <w:pStyle w:val="Textodenotaderodap"/>
        <w:rPr>
          <w:rFonts w:cs="Times New Roman"/>
        </w:rPr>
      </w:pPr>
      <w:r w:rsidRPr="00CB5573">
        <w:rPr>
          <w:rStyle w:val="Refdenotaderodap"/>
          <w:rFonts w:cs="Times New Roman"/>
        </w:rPr>
        <w:footnoteRef/>
      </w:r>
      <w:r w:rsidRPr="00CB5573">
        <w:rPr>
          <w:rFonts w:cs="Times New Roman"/>
        </w:rPr>
        <w:t xml:space="preserve"> </w:t>
      </w:r>
      <w:r w:rsidR="00D71961" w:rsidRPr="00CB5573">
        <w:rPr>
          <w:rFonts w:cs="Times New Roman"/>
        </w:rPr>
        <w:t xml:space="preserve">Enquanto o estranhamento brechtiano se afasta de seu objeto, pela via do </w:t>
      </w:r>
      <w:proofErr w:type="spellStart"/>
      <w:r w:rsidR="00D71961" w:rsidRPr="00CB5573">
        <w:rPr>
          <w:rFonts w:cs="Times New Roman"/>
        </w:rPr>
        <w:t>thaumázein</w:t>
      </w:r>
      <w:proofErr w:type="spellEnd"/>
      <w:r w:rsidR="00D71961" w:rsidRPr="00CB5573">
        <w:rPr>
          <w:rFonts w:cs="Times New Roman"/>
        </w:rPr>
        <w:t xml:space="preserve"> grego, mas depois retorna a ele, pois chega a uma conclusão sobre a solução prática do problema em questão, o estranhamento kafkiano é “sem volta”, pois nele os objetos “continuam estranhos e estrangeiros, continuam monstruosos e cotidianos como Gregor </w:t>
      </w:r>
      <w:proofErr w:type="spellStart"/>
      <w:r w:rsidR="00D71961" w:rsidRPr="00CB5573">
        <w:rPr>
          <w:rFonts w:cs="Times New Roman"/>
        </w:rPr>
        <w:t>Samsa</w:t>
      </w:r>
      <w:proofErr w:type="spellEnd"/>
      <w:r w:rsidR="00D71961" w:rsidRPr="00CB5573">
        <w:rPr>
          <w:rFonts w:cs="Times New Roman"/>
        </w:rPr>
        <w:t xml:space="preserve"> até morrer”</w:t>
      </w:r>
      <w:r w:rsidR="00FC3249" w:rsidRPr="00CB5573">
        <w:rPr>
          <w:rFonts w:cs="Times New Roman"/>
        </w:rPr>
        <w:t xml:space="preserve"> (</w:t>
      </w:r>
      <w:proofErr w:type="spellStart"/>
      <w:r w:rsidR="00CB7D31" w:rsidRPr="00CB5573">
        <w:rPr>
          <w:rFonts w:cs="Times New Roman"/>
        </w:rPr>
        <w:t>Ga</w:t>
      </w:r>
      <w:r w:rsidR="00C15D8A" w:rsidRPr="00CB5573">
        <w:rPr>
          <w:rFonts w:cs="Times New Roman"/>
        </w:rPr>
        <w:t>g</w:t>
      </w:r>
      <w:r w:rsidR="00CB7D31" w:rsidRPr="00CB5573">
        <w:rPr>
          <w:rFonts w:cs="Times New Roman"/>
        </w:rPr>
        <w:t>nebin</w:t>
      </w:r>
      <w:proofErr w:type="spellEnd"/>
      <w:r w:rsidR="00CB7D31" w:rsidRPr="00CB5573">
        <w:rPr>
          <w:rFonts w:cs="Times New Roman"/>
        </w:rPr>
        <w:t>, 2014, p.</w:t>
      </w:r>
      <w:r w:rsidR="00FC3249" w:rsidRPr="00CB5573">
        <w:rPr>
          <w:rFonts w:cs="Times New Roman"/>
        </w:rPr>
        <w:t xml:space="preserve"> 154). Lembrando também da aversão de Brecht ao surrealismo (pelo qual Benjamin tinha grande apreço), a autora mostra que, nesse ponto, Benjamin e Brecht são até mesmo opostos: “Brecht não quis correr esse risco de não-retorno. Benjamin, por sua vez, não o evitou” (ibidem). </w:t>
      </w:r>
      <w:r w:rsidR="00DE285F" w:rsidRPr="00CB5573">
        <w:rPr>
          <w:rFonts w:cs="Times New Roman"/>
        </w:rPr>
        <w:t xml:space="preserve">A autora sustenta, então, com razão, que Benjamin se atém ao </w:t>
      </w:r>
      <w:r w:rsidR="00DE285F" w:rsidRPr="00CB5573">
        <w:rPr>
          <w:rFonts w:cs="Times New Roman"/>
          <w:i/>
          <w:iCs/>
        </w:rPr>
        <w:t>primeiro momento</w:t>
      </w:r>
      <w:r w:rsidR="00DE285F" w:rsidRPr="00CB5573">
        <w:rPr>
          <w:rFonts w:cs="Times New Roman"/>
        </w:rPr>
        <w:t xml:space="preserve"> do estranhamento brechtiano, ou seja, ao estranhamento em si. É a partir apenas deste momento – acrescentamos – que ele desenvolve a sua crítica radical da empatia nas Teses, pois seria muito difícil encontramos neste </w:t>
      </w:r>
      <w:r w:rsidR="00063C5F" w:rsidRPr="00CB5573">
        <w:rPr>
          <w:rFonts w:cs="Times New Roman"/>
        </w:rPr>
        <w:t>“ensaio-testamento”</w:t>
      </w:r>
      <w:r w:rsidR="00DE285F" w:rsidRPr="00CB5573">
        <w:rPr>
          <w:rFonts w:cs="Times New Roman"/>
        </w:rPr>
        <w:t xml:space="preserve"> de Benjamin a</w:t>
      </w:r>
      <w:r w:rsidR="007D542D" w:rsidRPr="00CB5573">
        <w:rPr>
          <w:rFonts w:cs="Times New Roman"/>
        </w:rPr>
        <w:t>lgo</w:t>
      </w:r>
      <w:r w:rsidR="00DE285F" w:rsidRPr="00CB5573">
        <w:rPr>
          <w:rFonts w:cs="Times New Roman"/>
        </w:rPr>
        <w:t xml:space="preserve"> como uma “reconciliação” com </w:t>
      </w:r>
      <w:r w:rsidR="00063C5F" w:rsidRPr="00CB5573">
        <w:rPr>
          <w:rFonts w:cs="Times New Roman"/>
        </w:rPr>
        <w:t>a compreensão plena da história</w:t>
      </w:r>
      <w:r w:rsidR="00DE285F" w:rsidRPr="00CB5573">
        <w:rPr>
          <w:rFonts w:cs="Times New Roman"/>
        </w:rPr>
        <w:t>, tal como</w:t>
      </w:r>
      <w:r w:rsidR="00063C5F" w:rsidRPr="00CB5573">
        <w:rPr>
          <w:rFonts w:cs="Times New Roman"/>
        </w:rPr>
        <w:t xml:space="preserve"> a encontramos</w:t>
      </w:r>
      <w:r w:rsidR="00DE285F" w:rsidRPr="00CB5573">
        <w:rPr>
          <w:rFonts w:cs="Times New Roman"/>
        </w:rPr>
        <w:t xml:space="preserve"> </w:t>
      </w:r>
      <w:r w:rsidR="00063C5F" w:rsidRPr="00CB5573">
        <w:rPr>
          <w:rFonts w:cs="Times New Roman"/>
        </w:rPr>
        <w:t xml:space="preserve">em </w:t>
      </w:r>
      <w:r w:rsidR="00DE285F" w:rsidRPr="00CB5573">
        <w:rPr>
          <w:rFonts w:cs="Times New Roman"/>
        </w:rPr>
        <w:t>Brecht (que neste ponto é mais hegeliano que Benjamin)</w:t>
      </w:r>
      <w:r w:rsidR="00063C5F" w:rsidRPr="00CB5573">
        <w:rPr>
          <w:rFonts w:cs="Times New Roman"/>
        </w:rPr>
        <w:t>.</w:t>
      </w:r>
    </w:p>
  </w:footnote>
  <w:footnote w:id="40">
    <w:p w14:paraId="4F2BA6CA" w14:textId="1CADD69E" w:rsidR="00CB5573" w:rsidRPr="00CB5573" w:rsidRDefault="00C40664" w:rsidP="00CB5573">
      <w:pPr>
        <w:pStyle w:val="Textodenotaderodap"/>
        <w:rPr>
          <w:rFonts w:cs="Times New Roman"/>
        </w:rPr>
      </w:pPr>
      <w:r w:rsidRPr="00CB5573">
        <w:rPr>
          <w:rStyle w:val="Refdenotaderodap"/>
          <w:rFonts w:cs="Times New Roman"/>
        </w:rPr>
        <w:footnoteRef/>
      </w:r>
      <w:r w:rsidRPr="00CB5573">
        <w:rPr>
          <w:rFonts w:cs="Times New Roman"/>
        </w:rPr>
        <w:t xml:space="preserve"> Note-se, aliás, que própria epígrafe da Tese VII é um trecho da </w:t>
      </w:r>
      <w:r w:rsidRPr="00CB5573">
        <w:rPr>
          <w:rFonts w:cs="Times New Roman"/>
          <w:i/>
          <w:iCs/>
        </w:rPr>
        <w:t>Ópera dos vinténs</w:t>
      </w:r>
      <w:r w:rsidRPr="00CB5573">
        <w:rPr>
          <w:rFonts w:cs="Times New Roman"/>
        </w:rPr>
        <w:t xml:space="preserve"> de Brecht:</w:t>
      </w:r>
      <w:r w:rsidR="0049647A" w:rsidRPr="00CB5573">
        <w:rPr>
          <w:rFonts w:cs="Times New Roman"/>
        </w:rPr>
        <w:t xml:space="preserve"> “</w:t>
      </w:r>
      <w:proofErr w:type="spellStart"/>
      <w:r w:rsidR="0049647A" w:rsidRPr="00CB5573">
        <w:rPr>
          <w:rFonts w:cs="Times New Roman"/>
        </w:rPr>
        <w:t>Bedenkt</w:t>
      </w:r>
      <w:proofErr w:type="spellEnd"/>
      <w:r w:rsidR="0049647A" w:rsidRPr="00CB5573">
        <w:rPr>
          <w:rFonts w:cs="Times New Roman"/>
        </w:rPr>
        <w:t xml:space="preserve"> das </w:t>
      </w:r>
      <w:proofErr w:type="spellStart"/>
      <w:r w:rsidR="0049647A" w:rsidRPr="00CB5573">
        <w:rPr>
          <w:rFonts w:cs="Times New Roman"/>
        </w:rPr>
        <w:t>Dunkel</w:t>
      </w:r>
      <w:proofErr w:type="spellEnd"/>
      <w:r w:rsidR="0049647A" w:rsidRPr="00CB5573">
        <w:rPr>
          <w:rFonts w:cs="Times New Roman"/>
        </w:rPr>
        <w:t xml:space="preserve"> </w:t>
      </w:r>
      <w:proofErr w:type="spellStart"/>
      <w:r w:rsidR="0049647A" w:rsidRPr="00CB5573">
        <w:rPr>
          <w:rFonts w:cs="Times New Roman"/>
        </w:rPr>
        <w:t>und</w:t>
      </w:r>
      <w:proofErr w:type="spellEnd"/>
      <w:r w:rsidR="0049647A" w:rsidRPr="00CB5573">
        <w:rPr>
          <w:rFonts w:cs="Times New Roman"/>
        </w:rPr>
        <w:t xml:space="preserve"> die </w:t>
      </w:r>
      <w:proofErr w:type="spellStart"/>
      <w:r w:rsidR="0049647A" w:rsidRPr="00CB5573">
        <w:rPr>
          <w:rFonts w:cs="Times New Roman"/>
        </w:rPr>
        <w:t>gro</w:t>
      </w:r>
      <w:proofErr w:type="spellEnd"/>
      <w:r w:rsidR="0049647A" w:rsidRPr="00CB5573">
        <w:rPr>
          <w:rFonts w:cs="Times New Roman"/>
        </w:rPr>
        <w:t xml:space="preserve">βe </w:t>
      </w:r>
      <w:proofErr w:type="spellStart"/>
      <w:r w:rsidR="0049647A" w:rsidRPr="00CB5573">
        <w:rPr>
          <w:rFonts w:cs="Times New Roman"/>
        </w:rPr>
        <w:t>Kälte</w:t>
      </w:r>
      <w:proofErr w:type="spellEnd"/>
      <w:r w:rsidR="0049647A" w:rsidRPr="00CB5573">
        <w:rPr>
          <w:rFonts w:cs="Times New Roman"/>
        </w:rPr>
        <w:t xml:space="preserve">/ In </w:t>
      </w:r>
      <w:proofErr w:type="spellStart"/>
      <w:r w:rsidR="0049647A" w:rsidRPr="00CB5573">
        <w:rPr>
          <w:rFonts w:cs="Times New Roman"/>
        </w:rPr>
        <w:t>diesem</w:t>
      </w:r>
      <w:proofErr w:type="spellEnd"/>
      <w:r w:rsidR="0049647A" w:rsidRPr="00CB5573">
        <w:rPr>
          <w:rFonts w:cs="Times New Roman"/>
        </w:rPr>
        <w:t xml:space="preserve"> Tale, das von </w:t>
      </w:r>
      <w:proofErr w:type="spellStart"/>
      <w:r w:rsidR="0049647A" w:rsidRPr="00CB5573">
        <w:rPr>
          <w:rFonts w:cs="Times New Roman"/>
        </w:rPr>
        <w:t>Jammer</w:t>
      </w:r>
      <w:proofErr w:type="spellEnd"/>
      <w:r w:rsidR="0049647A" w:rsidRPr="00CB5573">
        <w:rPr>
          <w:rFonts w:cs="Times New Roman"/>
        </w:rPr>
        <w:t xml:space="preserve"> </w:t>
      </w:r>
      <w:proofErr w:type="spellStart"/>
      <w:r w:rsidR="0049647A" w:rsidRPr="00CB5573">
        <w:rPr>
          <w:rFonts w:cs="Times New Roman"/>
        </w:rPr>
        <w:t>schallt</w:t>
      </w:r>
      <w:proofErr w:type="spellEnd"/>
      <w:r w:rsidR="0049647A" w:rsidRPr="00CB5573">
        <w:rPr>
          <w:rFonts w:cs="Times New Roman"/>
        </w:rPr>
        <w:t>”</w:t>
      </w:r>
      <w:r w:rsidR="00CB7D31" w:rsidRPr="00CB5573">
        <w:rPr>
          <w:rFonts w:cs="Times New Roman"/>
        </w:rPr>
        <w:t xml:space="preserve"> [Pensem na escuridão e no grande frio/ Neste vale que ressoa de lamentos]</w:t>
      </w:r>
      <w:r w:rsidR="0049647A" w:rsidRPr="00CB5573">
        <w:rPr>
          <w:rFonts w:cs="Times New Roman"/>
        </w:rPr>
        <w:t xml:space="preserve"> (Apud Benjamin,</w:t>
      </w:r>
      <w:r w:rsidRPr="00CB5573">
        <w:rPr>
          <w:rFonts w:cs="Times New Roman"/>
        </w:rPr>
        <w:t xml:space="preserve"> </w:t>
      </w:r>
      <w:r w:rsidR="0049647A" w:rsidRPr="00CB5573">
        <w:rPr>
          <w:rFonts w:cs="Times New Roman"/>
        </w:rPr>
        <w:t>1991a, p. 696).</w:t>
      </w:r>
    </w:p>
  </w:footnote>
  <w:footnote w:id="41">
    <w:p w14:paraId="7D9CF871" w14:textId="2A374EE6" w:rsidR="0093770B" w:rsidRPr="00CB5573" w:rsidRDefault="0093770B" w:rsidP="00CB5573">
      <w:pPr>
        <w:pStyle w:val="Textodenotaderodap"/>
        <w:rPr>
          <w:rFonts w:cs="Times New Roman"/>
        </w:rPr>
      </w:pPr>
      <w:r w:rsidRPr="00CB5573">
        <w:rPr>
          <w:rStyle w:val="Refdenotaderodap"/>
          <w:rFonts w:cs="Times New Roman"/>
        </w:rPr>
        <w:footnoteRef/>
      </w:r>
      <w:r w:rsidRPr="00CB5573">
        <w:rPr>
          <w:rFonts w:cs="Times New Roman"/>
        </w:rPr>
        <w:t xml:space="preserve"> Cf. Benjamin, 1991b, </w:t>
      </w:r>
      <w:r w:rsidR="009C2890">
        <w:rPr>
          <w:rFonts w:cs="Times New Roman"/>
        </w:rPr>
        <w:t>p</w:t>
      </w:r>
      <w:r w:rsidRPr="00CB5573">
        <w:rPr>
          <w:rFonts w:cs="Times New Roman"/>
        </w:rPr>
        <w:t>. 456-457.</w:t>
      </w:r>
    </w:p>
  </w:footnote>
  <w:footnote w:id="42">
    <w:p w14:paraId="610985EB" w14:textId="49B3A441" w:rsidR="007D542D" w:rsidRPr="00CB5573" w:rsidRDefault="007D542D" w:rsidP="00CB5573">
      <w:pPr>
        <w:pStyle w:val="Textodenotaderodap"/>
      </w:pPr>
      <w:r w:rsidRPr="00CB5573">
        <w:rPr>
          <w:rStyle w:val="Refdenotaderodap"/>
          <w:rFonts w:cs="Times New Roman"/>
        </w:rPr>
        <w:footnoteRef/>
      </w:r>
      <w:r w:rsidRPr="00CB5573">
        <w:rPr>
          <w:rFonts w:cs="Times New Roman"/>
        </w:rPr>
        <w:t xml:space="preserve"> Mas também, como vimos na nota 36, sem reconciliação entre </w:t>
      </w:r>
      <w:r w:rsidR="00063C5F" w:rsidRPr="00CB5573">
        <w:rPr>
          <w:rFonts w:cs="Times New Roman"/>
        </w:rPr>
        <w:t>razão e história</w:t>
      </w:r>
      <w:r w:rsidRPr="00CB5573">
        <w:rPr>
          <w:rFonts w:cs="Times New Roman"/>
        </w:rPr>
        <w:t>: a tomada de posição ativa de Benjamin seria a do “pessimismo revolucionário”</w:t>
      </w:r>
      <w:r w:rsidR="00FE7B80" w:rsidRPr="00CB5573">
        <w:rPr>
          <w:rFonts w:cs="Times New Roman"/>
        </w:rPr>
        <w:t xml:space="preserve"> (cf. </w:t>
      </w:r>
      <w:proofErr w:type="spellStart"/>
      <w:r w:rsidR="00FE7B80" w:rsidRPr="00CB5573">
        <w:rPr>
          <w:rFonts w:cs="Times New Roman"/>
        </w:rPr>
        <w:t>Löwy</w:t>
      </w:r>
      <w:proofErr w:type="spellEnd"/>
      <w:r w:rsidR="00FE7B80" w:rsidRPr="00CB5573">
        <w:rPr>
          <w:rFonts w:cs="Times New Roman"/>
        </w:rPr>
        <w:t>, 2002)</w:t>
      </w:r>
      <w:r w:rsidRPr="00CB5573">
        <w:rPr>
          <w:rFonts w:cs="Times New Roman"/>
        </w:rPr>
        <w:t>, não o</w:t>
      </w:r>
      <w:r w:rsidR="00FE7B80" w:rsidRPr="00CB5573">
        <w:rPr>
          <w:rFonts w:cs="Times New Roman"/>
        </w:rPr>
        <w:t xml:space="preserve"> do</w:t>
      </w:r>
      <w:r w:rsidRPr="00CB5573">
        <w:rPr>
          <w:rFonts w:cs="Times New Roman"/>
        </w:rPr>
        <w:t xml:space="preserve"> hegeliano Brecht, que estaria mais próxim</w:t>
      </w:r>
      <w:r w:rsidR="00FE7B80" w:rsidRPr="00CB5573">
        <w:rPr>
          <w:rFonts w:cs="Times New Roman"/>
        </w:rPr>
        <w:t>a do</w:t>
      </w:r>
      <w:r w:rsidRPr="00CB5573">
        <w:rPr>
          <w:rFonts w:cs="Times New Roman"/>
        </w:rPr>
        <w:t xml:space="preserve"> otimismo das Luzes.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8A7C0" w14:textId="77777777" w:rsidR="00A45C84" w:rsidRDefault="00A45C84" w:rsidP="00A45C84">
    <w:pPr>
      <w:pStyle w:val="Cabealho"/>
      <w:ind w:firstLine="0"/>
      <w:jc w:val="right"/>
    </w:pPr>
    <w:bookmarkStart w:id="3" w:name="_Hlk184985295"/>
    <w:r>
      <w:t>ART</w:t>
    </w:r>
    <w:r w:rsidRPr="00213719">
      <w:rPr>
        <w:color w:val="808080" w:themeColor="background1" w:themeShade="80"/>
      </w:rPr>
      <w:t>E</w:t>
    </w:r>
    <w:r>
      <w:t>FILOSOFIA</w:t>
    </w:r>
  </w:p>
  <w:p w14:paraId="786833E2" w14:textId="77777777" w:rsidR="00A45C84" w:rsidRDefault="00A45C84" w:rsidP="00A45C84">
    <w:pPr>
      <w:pStyle w:val="Cabealho"/>
      <w:ind w:firstLine="0"/>
      <w:jc w:val="right"/>
      <w:rPr>
        <w:sz w:val="20"/>
        <w:szCs w:val="20"/>
      </w:rPr>
    </w:pPr>
    <w:r w:rsidRPr="00213719">
      <w:rPr>
        <w:sz w:val="20"/>
        <w:szCs w:val="20"/>
      </w:rPr>
      <w:t>ISSN:2526-7892</w:t>
    </w:r>
  </w:p>
  <w:bookmarkEnd w:id="3"/>
  <w:p w14:paraId="509B5BB6" w14:textId="77777777" w:rsidR="00A45C84" w:rsidRDefault="00A45C84" w:rsidP="00A45C84">
    <w:pPr>
      <w:pStyle w:val="Cabealho"/>
      <w:ind w:firstLine="0"/>
      <w:jc w:val="right"/>
      <w:rPr>
        <w:sz w:val="20"/>
        <w:szCs w:val="20"/>
      </w:rPr>
    </w:pPr>
  </w:p>
  <w:p w14:paraId="731A43A2" w14:textId="77777777" w:rsidR="00A45C84" w:rsidRDefault="00A45C84" w:rsidP="00A45C84">
    <w:pPr>
      <w:pStyle w:val="Cabealho"/>
      <w:ind w:firstLine="0"/>
      <w:jc w:val="right"/>
      <w:rPr>
        <w:sz w:val="20"/>
        <w:szCs w:val="20"/>
      </w:rPr>
    </w:pPr>
  </w:p>
  <w:p w14:paraId="51A19AFB" w14:textId="77777777" w:rsidR="00A45C84" w:rsidRDefault="00A45C84" w:rsidP="00A45C84">
    <w:pPr>
      <w:pStyle w:val="Cabealho"/>
      <w:ind w:firstLine="0"/>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3D57" w14:textId="77777777" w:rsidR="00A45C84" w:rsidRDefault="00A45C84" w:rsidP="00A45C84">
    <w:pPr>
      <w:pStyle w:val="Cabealho"/>
      <w:ind w:firstLine="0"/>
      <w:jc w:val="right"/>
    </w:pPr>
    <w:r>
      <w:t>ART</w:t>
    </w:r>
    <w:r w:rsidRPr="00213719">
      <w:rPr>
        <w:color w:val="808080" w:themeColor="background1" w:themeShade="80"/>
      </w:rPr>
      <w:t>E</w:t>
    </w:r>
    <w:r>
      <w:t>FILOSOFIA</w:t>
    </w:r>
  </w:p>
  <w:p w14:paraId="5B741C67" w14:textId="77777777" w:rsidR="00A45C84" w:rsidRDefault="00A45C84" w:rsidP="00A45C84">
    <w:pPr>
      <w:pStyle w:val="Cabealho"/>
      <w:ind w:firstLine="0"/>
      <w:jc w:val="right"/>
      <w:rPr>
        <w:sz w:val="20"/>
        <w:szCs w:val="20"/>
      </w:rPr>
    </w:pPr>
    <w:r w:rsidRPr="00213719">
      <w:rPr>
        <w:sz w:val="20"/>
        <w:szCs w:val="20"/>
      </w:rPr>
      <w:t>ISSN:2526-7892</w:t>
    </w:r>
  </w:p>
  <w:p w14:paraId="1072878B" w14:textId="77777777" w:rsidR="00A45C84" w:rsidRDefault="00A45C84" w:rsidP="00A45C84">
    <w:pPr>
      <w:pStyle w:val="Cabealho"/>
      <w:ind w:firstLine="0"/>
      <w:jc w:val="right"/>
      <w:rPr>
        <w:sz w:val="20"/>
        <w:szCs w:val="20"/>
      </w:rPr>
    </w:pPr>
  </w:p>
  <w:p w14:paraId="14C69719" w14:textId="77777777" w:rsidR="00A45C84" w:rsidRDefault="00A45C84" w:rsidP="00A45C84">
    <w:pPr>
      <w:pStyle w:val="Cabealho"/>
      <w:ind w:firstLine="0"/>
      <w:jc w:val="right"/>
      <w:rPr>
        <w:sz w:val="20"/>
        <w:szCs w:val="20"/>
      </w:rPr>
    </w:pPr>
  </w:p>
  <w:p w14:paraId="219F4505" w14:textId="77777777" w:rsidR="00A45C84" w:rsidRDefault="00A45C84" w:rsidP="00A45C84">
    <w:pPr>
      <w:pStyle w:val="Cabealho"/>
      <w:ind w:firstLine="0"/>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AD40E8"/>
    <w:multiLevelType w:val="multilevel"/>
    <w:tmpl w:val="6A18A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ED1A33"/>
    <w:multiLevelType w:val="multilevel"/>
    <w:tmpl w:val="8BDE5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4532459">
    <w:abstractNumId w:val="1"/>
  </w:num>
  <w:num w:numId="2" w16cid:durableId="194025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DBB"/>
    <w:rsid w:val="000002F8"/>
    <w:rsid w:val="000005AA"/>
    <w:rsid w:val="0000060F"/>
    <w:rsid w:val="000064C0"/>
    <w:rsid w:val="000124FB"/>
    <w:rsid w:val="000332C2"/>
    <w:rsid w:val="00033D47"/>
    <w:rsid w:val="00052896"/>
    <w:rsid w:val="00053832"/>
    <w:rsid w:val="00054029"/>
    <w:rsid w:val="00061A0F"/>
    <w:rsid w:val="000637E9"/>
    <w:rsid w:val="00063C5F"/>
    <w:rsid w:val="00065F72"/>
    <w:rsid w:val="00086504"/>
    <w:rsid w:val="00086AF4"/>
    <w:rsid w:val="00093BC9"/>
    <w:rsid w:val="00095C37"/>
    <w:rsid w:val="00095D41"/>
    <w:rsid w:val="00096027"/>
    <w:rsid w:val="00096330"/>
    <w:rsid w:val="000B1778"/>
    <w:rsid w:val="000B4F8A"/>
    <w:rsid w:val="000B7E29"/>
    <w:rsid w:val="000C0E1C"/>
    <w:rsid w:val="000C0F6C"/>
    <w:rsid w:val="000C4CAE"/>
    <w:rsid w:val="000C7735"/>
    <w:rsid w:val="000D0C03"/>
    <w:rsid w:val="000E02A0"/>
    <w:rsid w:val="000E3620"/>
    <w:rsid w:val="00101A8D"/>
    <w:rsid w:val="001102DD"/>
    <w:rsid w:val="00112A77"/>
    <w:rsid w:val="00113773"/>
    <w:rsid w:val="0012542D"/>
    <w:rsid w:val="00126123"/>
    <w:rsid w:val="00130AB5"/>
    <w:rsid w:val="00135CA7"/>
    <w:rsid w:val="00144C63"/>
    <w:rsid w:val="0015386D"/>
    <w:rsid w:val="001621C2"/>
    <w:rsid w:val="001641D3"/>
    <w:rsid w:val="00174E62"/>
    <w:rsid w:val="001826E4"/>
    <w:rsid w:val="00185A15"/>
    <w:rsid w:val="001908D7"/>
    <w:rsid w:val="00193C7B"/>
    <w:rsid w:val="0019501F"/>
    <w:rsid w:val="001A034D"/>
    <w:rsid w:val="001A04AF"/>
    <w:rsid w:val="001A13DE"/>
    <w:rsid w:val="001A30D8"/>
    <w:rsid w:val="001A3288"/>
    <w:rsid w:val="001A56F2"/>
    <w:rsid w:val="001A62F7"/>
    <w:rsid w:val="001B7C25"/>
    <w:rsid w:val="001D6594"/>
    <w:rsid w:val="001F18DD"/>
    <w:rsid w:val="001F46EE"/>
    <w:rsid w:val="002003EC"/>
    <w:rsid w:val="0020113B"/>
    <w:rsid w:val="00212412"/>
    <w:rsid w:val="002143E7"/>
    <w:rsid w:val="00243182"/>
    <w:rsid w:val="00251019"/>
    <w:rsid w:val="0026122A"/>
    <w:rsid w:val="0026247D"/>
    <w:rsid w:val="00272879"/>
    <w:rsid w:val="00276F54"/>
    <w:rsid w:val="00297F54"/>
    <w:rsid w:val="002A0CE9"/>
    <w:rsid w:val="002A2AF5"/>
    <w:rsid w:val="002B7543"/>
    <w:rsid w:val="002D1C5B"/>
    <w:rsid w:val="002D33A9"/>
    <w:rsid w:val="002E2F2D"/>
    <w:rsid w:val="002E3135"/>
    <w:rsid w:val="002E62AF"/>
    <w:rsid w:val="002E63FD"/>
    <w:rsid w:val="002F0762"/>
    <w:rsid w:val="002F7AEB"/>
    <w:rsid w:val="003119B9"/>
    <w:rsid w:val="0031504A"/>
    <w:rsid w:val="0031585E"/>
    <w:rsid w:val="003218A6"/>
    <w:rsid w:val="00323EC8"/>
    <w:rsid w:val="00326665"/>
    <w:rsid w:val="00330CE8"/>
    <w:rsid w:val="00330D82"/>
    <w:rsid w:val="00335EE0"/>
    <w:rsid w:val="00362B38"/>
    <w:rsid w:val="00363890"/>
    <w:rsid w:val="0036485B"/>
    <w:rsid w:val="00366222"/>
    <w:rsid w:val="00371B62"/>
    <w:rsid w:val="00380F03"/>
    <w:rsid w:val="00383B97"/>
    <w:rsid w:val="003916F0"/>
    <w:rsid w:val="0039194B"/>
    <w:rsid w:val="003952F4"/>
    <w:rsid w:val="00395314"/>
    <w:rsid w:val="00396923"/>
    <w:rsid w:val="003A296A"/>
    <w:rsid w:val="003A40F5"/>
    <w:rsid w:val="003B6EF3"/>
    <w:rsid w:val="003C4E17"/>
    <w:rsid w:val="003D4706"/>
    <w:rsid w:val="00403E75"/>
    <w:rsid w:val="0041105C"/>
    <w:rsid w:val="00411572"/>
    <w:rsid w:val="00425ED4"/>
    <w:rsid w:val="004426F5"/>
    <w:rsid w:val="00444097"/>
    <w:rsid w:val="00446797"/>
    <w:rsid w:val="00454E83"/>
    <w:rsid w:val="004620D0"/>
    <w:rsid w:val="00463D11"/>
    <w:rsid w:val="004705D0"/>
    <w:rsid w:val="0047634E"/>
    <w:rsid w:val="0048188E"/>
    <w:rsid w:val="004914F6"/>
    <w:rsid w:val="004944FF"/>
    <w:rsid w:val="0049647A"/>
    <w:rsid w:val="004964D8"/>
    <w:rsid w:val="004972A5"/>
    <w:rsid w:val="00497D10"/>
    <w:rsid w:val="004B0E2D"/>
    <w:rsid w:val="004B29EB"/>
    <w:rsid w:val="004B5E58"/>
    <w:rsid w:val="004B7B64"/>
    <w:rsid w:val="004C627D"/>
    <w:rsid w:val="004D0FC9"/>
    <w:rsid w:val="004D1B63"/>
    <w:rsid w:val="004D21AD"/>
    <w:rsid w:val="004D7518"/>
    <w:rsid w:val="004E2E4D"/>
    <w:rsid w:val="004F4EF0"/>
    <w:rsid w:val="00501933"/>
    <w:rsid w:val="005031B0"/>
    <w:rsid w:val="0052079E"/>
    <w:rsid w:val="00547E79"/>
    <w:rsid w:val="00547E95"/>
    <w:rsid w:val="00550ECC"/>
    <w:rsid w:val="00562458"/>
    <w:rsid w:val="005658EF"/>
    <w:rsid w:val="00565B3A"/>
    <w:rsid w:val="005753D3"/>
    <w:rsid w:val="005804BB"/>
    <w:rsid w:val="005901BE"/>
    <w:rsid w:val="005A0D2F"/>
    <w:rsid w:val="005B255C"/>
    <w:rsid w:val="005C61A3"/>
    <w:rsid w:val="005E64A8"/>
    <w:rsid w:val="005F0155"/>
    <w:rsid w:val="005F3E65"/>
    <w:rsid w:val="005F4A36"/>
    <w:rsid w:val="005F5B12"/>
    <w:rsid w:val="005F6174"/>
    <w:rsid w:val="00600EBB"/>
    <w:rsid w:val="0060256E"/>
    <w:rsid w:val="006077B4"/>
    <w:rsid w:val="00632B8C"/>
    <w:rsid w:val="00634BDD"/>
    <w:rsid w:val="00643846"/>
    <w:rsid w:val="00644B08"/>
    <w:rsid w:val="00653E7B"/>
    <w:rsid w:val="00660BA2"/>
    <w:rsid w:val="00663741"/>
    <w:rsid w:val="00664EA9"/>
    <w:rsid w:val="00667D8D"/>
    <w:rsid w:val="00673F83"/>
    <w:rsid w:val="00674631"/>
    <w:rsid w:val="00680248"/>
    <w:rsid w:val="00686503"/>
    <w:rsid w:val="006935DA"/>
    <w:rsid w:val="006963DA"/>
    <w:rsid w:val="00697056"/>
    <w:rsid w:val="006A5FA8"/>
    <w:rsid w:val="006B0170"/>
    <w:rsid w:val="006B460A"/>
    <w:rsid w:val="006B4EBE"/>
    <w:rsid w:val="006C4338"/>
    <w:rsid w:val="006D4E97"/>
    <w:rsid w:val="006D69EB"/>
    <w:rsid w:val="00700E35"/>
    <w:rsid w:val="0070201A"/>
    <w:rsid w:val="007055ED"/>
    <w:rsid w:val="007073D2"/>
    <w:rsid w:val="00711254"/>
    <w:rsid w:val="00720921"/>
    <w:rsid w:val="00720C2F"/>
    <w:rsid w:val="00720FCE"/>
    <w:rsid w:val="00721B83"/>
    <w:rsid w:val="00732DA9"/>
    <w:rsid w:val="00734701"/>
    <w:rsid w:val="00735152"/>
    <w:rsid w:val="007446E3"/>
    <w:rsid w:val="00752AE7"/>
    <w:rsid w:val="00754C39"/>
    <w:rsid w:val="00755CCD"/>
    <w:rsid w:val="00765CB1"/>
    <w:rsid w:val="00770CDE"/>
    <w:rsid w:val="00772DCC"/>
    <w:rsid w:val="00773AE5"/>
    <w:rsid w:val="00774C4F"/>
    <w:rsid w:val="0078627B"/>
    <w:rsid w:val="007901F5"/>
    <w:rsid w:val="007908DE"/>
    <w:rsid w:val="00795B20"/>
    <w:rsid w:val="007B1A58"/>
    <w:rsid w:val="007B42CE"/>
    <w:rsid w:val="007B5D94"/>
    <w:rsid w:val="007C29F5"/>
    <w:rsid w:val="007C7950"/>
    <w:rsid w:val="007D3B27"/>
    <w:rsid w:val="007D3E43"/>
    <w:rsid w:val="007D542D"/>
    <w:rsid w:val="007D7F2E"/>
    <w:rsid w:val="007E0067"/>
    <w:rsid w:val="008002CF"/>
    <w:rsid w:val="00800F24"/>
    <w:rsid w:val="00804282"/>
    <w:rsid w:val="0080450B"/>
    <w:rsid w:val="00806CE3"/>
    <w:rsid w:val="00807FD7"/>
    <w:rsid w:val="008200E9"/>
    <w:rsid w:val="008223F1"/>
    <w:rsid w:val="0082367A"/>
    <w:rsid w:val="00834B59"/>
    <w:rsid w:val="00835A93"/>
    <w:rsid w:val="008446B7"/>
    <w:rsid w:val="0084707D"/>
    <w:rsid w:val="00847AB2"/>
    <w:rsid w:val="0085072A"/>
    <w:rsid w:val="00851407"/>
    <w:rsid w:val="008526C3"/>
    <w:rsid w:val="00853E00"/>
    <w:rsid w:val="00861CC6"/>
    <w:rsid w:val="0086606E"/>
    <w:rsid w:val="0087311F"/>
    <w:rsid w:val="008733D6"/>
    <w:rsid w:val="0087665F"/>
    <w:rsid w:val="00890524"/>
    <w:rsid w:val="00891ADC"/>
    <w:rsid w:val="00895FC8"/>
    <w:rsid w:val="008A09B0"/>
    <w:rsid w:val="008A0C5C"/>
    <w:rsid w:val="008B10B9"/>
    <w:rsid w:val="008B32A3"/>
    <w:rsid w:val="008B493A"/>
    <w:rsid w:val="008B5FA0"/>
    <w:rsid w:val="008C1617"/>
    <w:rsid w:val="008C1C95"/>
    <w:rsid w:val="008C25AC"/>
    <w:rsid w:val="008D359A"/>
    <w:rsid w:val="008D490D"/>
    <w:rsid w:val="008E6306"/>
    <w:rsid w:val="008F72B0"/>
    <w:rsid w:val="0090194E"/>
    <w:rsid w:val="00904865"/>
    <w:rsid w:val="009159E9"/>
    <w:rsid w:val="00925378"/>
    <w:rsid w:val="00930447"/>
    <w:rsid w:val="0093770B"/>
    <w:rsid w:val="00943D06"/>
    <w:rsid w:val="009452D5"/>
    <w:rsid w:val="00963A1D"/>
    <w:rsid w:val="00965CA2"/>
    <w:rsid w:val="00974264"/>
    <w:rsid w:val="00981AB5"/>
    <w:rsid w:val="00982548"/>
    <w:rsid w:val="00983AB5"/>
    <w:rsid w:val="009913EB"/>
    <w:rsid w:val="00992904"/>
    <w:rsid w:val="009A2DAD"/>
    <w:rsid w:val="009A3E01"/>
    <w:rsid w:val="009A496E"/>
    <w:rsid w:val="009A671F"/>
    <w:rsid w:val="009A7E79"/>
    <w:rsid w:val="009B5E26"/>
    <w:rsid w:val="009B5F10"/>
    <w:rsid w:val="009C195F"/>
    <w:rsid w:val="009C258B"/>
    <w:rsid w:val="009C2890"/>
    <w:rsid w:val="009D3351"/>
    <w:rsid w:val="009D6359"/>
    <w:rsid w:val="009E7071"/>
    <w:rsid w:val="009F60C5"/>
    <w:rsid w:val="00A02C87"/>
    <w:rsid w:val="00A14D14"/>
    <w:rsid w:val="00A15B66"/>
    <w:rsid w:val="00A2097A"/>
    <w:rsid w:val="00A20F82"/>
    <w:rsid w:val="00A3526A"/>
    <w:rsid w:val="00A36086"/>
    <w:rsid w:val="00A3677D"/>
    <w:rsid w:val="00A4008A"/>
    <w:rsid w:val="00A44C77"/>
    <w:rsid w:val="00A45C84"/>
    <w:rsid w:val="00A51B5A"/>
    <w:rsid w:val="00A531EC"/>
    <w:rsid w:val="00A536E7"/>
    <w:rsid w:val="00A558E6"/>
    <w:rsid w:val="00A661A3"/>
    <w:rsid w:val="00A66954"/>
    <w:rsid w:val="00A722C3"/>
    <w:rsid w:val="00A7247D"/>
    <w:rsid w:val="00A76FE7"/>
    <w:rsid w:val="00A82A2A"/>
    <w:rsid w:val="00A84372"/>
    <w:rsid w:val="00A912D5"/>
    <w:rsid w:val="00A9532D"/>
    <w:rsid w:val="00AA6D8B"/>
    <w:rsid w:val="00AA7198"/>
    <w:rsid w:val="00AB13F9"/>
    <w:rsid w:val="00AB2DF9"/>
    <w:rsid w:val="00AB32F8"/>
    <w:rsid w:val="00AB796C"/>
    <w:rsid w:val="00AC03A6"/>
    <w:rsid w:val="00AC63F3"/>
    <w:rsid w:val="00AD0C7A"/>
    <w:rsid w:val="00AD60D1"/>
    <w:rsid w:val="00AE142E"/>
    <w:rsid w:val="00AE67F5"/>
    <w:rsid w:val="00B015F3"/>
    <w:rsid w:val="00B054EC"/>
    <w:rsid w:val="00B07641"/>
    <w:rsid w:val="00B11E68"/>
    <w:rsid w:val="00B128BB"/>
    <w:rsid w:val="00B159CA"/>
    <w:rsid w:val="00B24777"/>
    <w:rsid w:val="00B25D35"/>
    <w:rsid w:val="00B25FA9"/>
    <w:rsid w:val="00B2691F"/>
    <w:rsid w:val="00B343AF"/>
    <w:rsid w:val="00B41CC5"/>
    <w:rsid w:val="00B50238"/>
    <w:rsid w:val="00B536BF"/>
    <w:rsid w:val="00B5448A"/>
    <w:rsid w:val="00B6008B"/>
    <w:rsid w:val="00B60967"/>
    <w:rsid w:val="00B63310"/>
    <w:rsid w:val="00B751F6"/>
    <w:rsid w:val="00B875AE"/>
    <w:rsid w:val="00B92D01"/>
    <w:rsid w:val="00B93166"/>
    <w:rsid w:val="00BA3A0A"/>
    <w:rsid w:val="00BA7B54"/>
    <w:rsid w:val="00BB7ECA"/>
    <w:rsid w:val="00BC0390"/>
    <w:rsid w:val="00BC2005"/>
    <w:rsid w:val="00BE1AEE"/>
    <w:rsid w:val="00BE2537"/>
    <w:rsid w:val="00BE2A63"/>
    <w:rsid w:val="00BE37D8"/>
    <w:rsid w:val="00BE553A"/>
    <w:rsid w:val="00BE6BFB"/>
    <w:rsid w:val="00BF00C7"/>
    <w:rsid w:val="00C01B6A"/>
    <w:rsid w:val="00C02225"/>
    <w:rsid w:val="00C15D8A"/>
    <w:rsid w:val="00C179DE"/>
    <w:rsid w:val="00C17D15"/>
    <w:rsid w:val="00C24804"/>
    <w:rsid w:val="00C3283A"/>
    <w:rsid w:val="00C36736"/>
    <w:rsid w:val="00C36F9A"/>
    <w:rsid w:val="00C40270"/>
    <w:rsid w:val="00C40664"/>
    <w:rsid w:val="00C44765"/>
    <w:rsid w:val="00C47FD1"/>
    <w:rsid w:val="00C55771"/>
    <w:rsid w:val="00C57DCB"/>
    <w:rsid w:val="00C73297"/>
    <w:rsid w:val="00C74BBF"/>
    <w:rsid w:val="00C841EC"/>
    <w:rsid w:val="00C86744"/>
    <w:rsid w:val="00C91DB3"/>
    <w:rsid w:val="00C9204F"/>
    <w:rsid w:val="00C920E2"/>
    <w:rsid w:val="00C9699C"/>
    <w:rsid w:val="00C97563"/>
    <w:rsid w:val="00CA7307"/>
    <w:rsid w:val="00CB5573"/>
    <w:rsid w:val="00CB7D31"/>
    <w:rsid w:val="00CC2C92"/>
    <w:rsid w:val="00CC49E7"/>
    <w:rsid w:val="00CD6226"/>
    <w:rsid w:val="00CF240B"/>
    <w:rsid w:val="00CF5B0C"/>
    <w:rsid w:val="00D01AEF"/>
    <w:rsid w:val="00D0282D"/>
    <w:rsid w:val="00D14BAA"/>
    <w:rsid w:val="00D20381"/>
    <w:rsid w:val="00D24224"/>
    <w:rsid w:val="00D25445"/>
    <w:rsid w:val="00D46FFD"/>
    <w:rsid w:val="00D64FE6"/>
    <w:rsid w:val="00D6688B"/>
    <w:rsid w:val="00D71210"/>
    <w:rsid w:val="00D71961"/>
    <w:rsid w:val="00D735F3"/>
    <w:rsid w:val="00D853A6"/>
    <w:rsid w:val="00D90275"/>
    <w:rsid w:val="00DB008F"/>
    <w:rsid w:val="00DB0852"/>
    <w:rsid w:val="00DC3A58"/>
    <w:rsid w:val="00DC4B24"/>
    <w:rsid w:val="00DC659F"/>
    <w:rsid w:val="00DE1B3B"/>
    <w:rsid w:val="00DE285F"/>
    <w:rsid w:val="00DE2E86"/>
    <w:rsid w:val="00DE65E6"/>
    <w:rsid w:val="00DF2DBF"/>
    <w:rsid w:val="00DF3D57"/>
    <w:rsid w:val="00E0692E"/>
    <w:rsid w:val="00E078A8"/>
    <w:rsid w:val="00E10F76"/>
    <w:rsid w:val="00E141E4"/>
    <w:rsid w:val="00E26C0C"/>
    <w:rsid w:val="00E27699"/>
    <w:rsid w:val="00E30008"/>
    <w:rsid w:val="00E35DFF"/>
    <w:rsid w:val="00E4086A"/>
    <w:rsid w:val="00E44E09"/>
    <w:rsid w:val="00E46D2C"/>
    <w:rsid w:val="00E5033A"/>
    <w:rsid w:val="00E60D7B"/>
    <w:rsid w:val="00E669B5"/>
    <w:rsid w:val="00E739B3"/>
    <w:rsid w:val="00E739FB"/>
    <w:rsid w:val="00E74247"/>
    <w:rsid w:val="00E80556"/>
    <w:rsid w:val="00E80F8E"/>
    <w:rsid w:val="00E83480"/>
    <w:rsid w:val="00E83676"/>
    <w:rsid w:val="00E84D66"/>
    <w:rsid w:val="00E95F56"/>
    <w:rsid w:val="00EB0F2C"/>
    <w:rsid w:val="00ED42AB"/>
    <w:rsid w:val="00ED76FC"/>
    <w:rsid w:val="00EE05BA"/>
    <w:rsid w:val="00EE4C2B"/>
    <w:rsid w:val="00EF3EFA"/>
    <w:rsid w:val="00F047FE"/>
    <w:rsid w:val="00F07080"/>
    <w:rsid w:val="00F111C7"/>
    <w:rsid w:val="00F11E47"/>
    <w:rsid w:val="00F12909"/>
    <w:rsid w:val="00F132F5"/>
    <w:rsid w:val="00F153CD"/>
    <w:rsid w:val="00F15578"/>
    <w:rsid w:val="00F17D57"/>
    <w:rsid w:val="00F2341A"/>
    <w:rsid w:val="00F2488C"/>
    <w:rsid w:val="00F26BAE"/>
    <w:rsid w:val="00F30CE1"/>
    <w:rsid w:val="00F35D43"/>
    <w:rsid w:val="00F36A37"/>
    <w:rsid w:val="00F453C9"/>
    <w:rsid w:val="00F501F6"/>
    <w:rsid w:val="00F5527D"/>
    <w:rsid w:val="00F56DC4"/>
    <w:rsid w:val="00F7212B"/>
    <w:rsid w:val="00F7462C"/>
    <w:rsid w:val="00F74677"/>
    <w:rsid w:val="00F7599E"/>
    <w:rsid w:val="00F75CE6"/>
    <w:rsid w:val="00F77770"/>
    <w:rsid w:val="00F80D20"/>
    <w:rsid w:val="00F85E44"/>
    <w:rsid w:val="00F86776"/>
    <w:rsid w:val="00F93DBB"/>
    <w:rsid w:val="00F93E59"/>
    <w:rsid w:val="00FA4A0C"/>
    <w:rsid w:val="00FB0F2A"/>
    <w:rsid w:val="00FC1200"/>
    <w:rsid w:val="00FC28B0"/>
    <w:rsid w:val="00FC3249"/>
    <w:rsid w:val="00FC3BC9"/>
    <w:rsid w:val="00FC56B3"/>
    <w:rsid w:val="00FC6E62"/>
    <w:rsid w:val="00FC7136"/>
    <w:rsid w:val="00FE01A0"/>
    <w:rsid w:val="00FE1F64"/>
    <w:rsid w:val="00FE294B"/>
    <w:rsid w:val="00FE52EA"/>
    <w:rsid w:val="00FE769B"/>
    <w:rsid w:val="00FE7B80"/>
    <w:rsid w:val="00FF3EBC"/>
    <w:rsid w:val="00FF63B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0F75A"/>
  <w15:chartTrackingRefBased/>
  <w15:docId w15:val="{404083D7-8BCE-4767-ACBD-BAFD0689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E65"/>
    <w:pPr>
      <w:suppressAutoHyphens/>
      <w:spacing w:after="0" w:line="360" w:lineRule="auto"/>
      <w:ind w:firstLine="709"/>
      <w:jc w:val="both"/>
    </w:pPr>
    <w:rPr>
      <w:rFonts w:ascii="Times New Roman" w:hAnsi="Times New Roman"/>
      <w:color w:val="000000" w:themeColor="text1"/>
      <w:sz w:val="24"/>
    </w:rPr>
  </w:style>
  <w:style w:type="paragraph" w:styleId="Ttulo1">
    <w:name w:val="heading 1"/>
    <w:basedOn w:val="Normal"/>
    <w:next w:val="Normal"/>
    <w:link w:val="Ttulo1Char"/>
    <w:uiPriority w:val="9"/>
    <w:qFormat/>
    <w:rsid w:val="009159E9"/>
    <w:pPr>
      <w:spacing w:before="240" w:after="240"/>
      <w:ind w:firstLine="0"/>
      <w:outlineLvl w:val="0"/>
    </w:pPr>
    <w:rPr>
      <w:b/>
      <w:caps/>
    </w:rPr>
  </w:style>
  <w:style w:type="paragraph" w:styleId="Ttulo2">
    <w:name w:val="heading 2"/>
    <w:basedOn w:val="Normal"/>
    <w:next w:val="Normal"/>
    <w:link w:val="Ttulo2Char"/>
    <w:uiPriority w:val="9"/>
    <w:semiHidden/>
    <w:unhideWhenUsed/>
    <w:qFormat/>
    <w:rsid w:val="009159E9"/>
    <w:pPr>
      <w:keepNext/>
      <w:keepLines/>
      <w:spacing w:before="240" w:after="240"/>
      <w:ind w:firstLine="0"/>
      <w:outlineLvl w:val="1"/>
    </w:pPr>
    <w:rPr>
      <w:rFonts w:eastAsiaTheme="majorEastAsia" w:cstheme="majorBidi"/>
      <w:b/>
      <w:szCs w:val="26"/>
    </w:rPr>
  </w:style>
  <w:style w:type="paragraph" w:styleId="Ttulo3">
    <w:name w:val="heading 3"/>
    <w:basedOn w:val="Normal"/>
    <w:next w:val="Normal"/>
    <w:link w:val="Ttulo3Char"/>
    <w:uiPriority w:val="9"/>
    <w:semiHidden/>
    <w:unhideWhenUsed/>
    <w:qFormat/>
    <w:rsid w:val="009159E9"/>
    <w:pPr>
      <w:keepNext/>
      <w:keepLines/>
      <w:spacing w:before="240" w:after="240"/>
      <w:ind w:firstLine="0"/>
      <w:outlineLvl w:val="2"/>
    </w:pPr>
    <w:rPr>
      <w:rFonts w:eastAsiaTheme="majorEastAsia" w:cstheme="majorBidi"/>
      <w:b/>
      <w:szCs w:val="24"/>
    </w:rPr>
  </w:style>
  <w:style w:type="paragraph" w:styleId="Ttulo4">
    <w:name w:val="heading 4"/>
    <w:basedOn w:val="Normal"/>
    <w:next w:val="Normal"/>
    <w:link w:val="Ttulo4Char"/>
    <w:uiPriority w:val="9"/>
    <w:semiHidden/>
    <w:unhideWhenUsed/>
    <w:qFormat/>
    <w:rsid w:val="009159E9"/>
    <w:pPr>
      <w:keepNext/>
      <w:keepLines/>
      <w:ind w:firstLine="0"/>
      <w:outlineLvl w:val="3"/>
    </w:pPr>
    <w:rPr>
      <w:rFonts w:eastAsiaTheme="majorEastAsia" w:cstheme="majorBidi"/>
      <w:b/>
      <w:iCs/>
    </w:rPr>
  </w:style>
  <w:style w:type="paragraph" w:styleId="Ttulo5">
    <w:name w:val="heading 5"/>
    <w:basedOn w:val="Normal"/>
    <w:next w:val="Normal"/>
    <w:link w:val="Ttulo5Char"/>
    <w:uiPriority w:val="9"/>
    <w:semiHidden/>
    <w:unhideWhenUsed/>
    <w:rsid w:val="00F93DB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9159E9"/>
    <w:pPr>
      <w:keepNext/>
      <w:keepLines/>
      <w:spacing w:before="40"/>
      <w:ind w:firstLine="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9159E9"/>
    <w:pPr>
      <w:keepNext/>
      <w:keepLines/>
      <w:spacing w:before="40"/>
      <w:ind w:firstLine="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har"/>
    <w:uiPriority w:val="9"/>
    <w:semiHidden/>
    <w:unhideWhenUsed/>
    <w:qFormat/>
    <w:rsid w:val="009159E9"/>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9159E9"/>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159E9"/>
    <w:rPr>
      <w:rFonts w:ascii="Times New Roman" w:hAnsi="Times New Roman"/>
      <w:b/>
      <w:caps/>
      <w:color w:val="000000" w:themeColor="text1"/>
      <w:sz w:val="24"/>
    </w:rPr>
  </w:style>
  <w:style w:type="character" w:customStyle="1" w:styleId="Ttulo2Char">
    <w:name w:val="Título 2 Char"/>
    <w:basedOn w:val="Fontepargpadro"/>
    <w:link w:val="Ttulo2"/>
    <w:uiPriority w:val="9"/>
    <w:semiHidden/>
    <w:rsid w:val="009159E9"/>
    <w:rPr>
      <w:rFonts w:ascii="Times New Roman" w:eastAsiaTheme="majorEastAsia" w:hAnsi="Times New Roman" w:cstheme="majorBidi"/>
      <w:b/>
      <w:color w:val="000000" w:themeColor="text1"/>
      <w:sz w:val="24"/>
      <w:szCs w:val="26"/>
    </w:rPr>
  </w:style>
  <w:style w:type="character" w:customStyle="1" w:styleId="Ttulo3Char">
    <w:name w:val="Título 3 Char"/>
    <w:basedOn w:val="Fontepargpadro"/>
    <w:link w:val="Ttulo3"/>
    <w:uiPriority w:val="9"/>
    <w:semiHidden/>
    <w:rsid w:val="009159E9"/>
    <w:rPr>
      <w:rFonts w:ascii="Times New Roman" w:eastAsiaTheme="majorEastAsia" w:hAnsi="Times New Roman" w:cstheme="majorBidi"/>
      <w:b/>
      <w:color w:val="000000" w:themeColor="text1"/>
      <w:sz w:val="24"/>
      <w:szCs w:val="24"/>
    </w:rPr>
  </w:style>
  <w:style w:type="character" w:customStyle="1" w:styleId="Ttulo4Char">
    <w:name w:val="Título 4 Char"/>
    <w:basedOn w:val="Fontepargpadro"/>
    <w:link w:val="Ttulo4"/>
    <w:uiPriority w:val="9"/>
    <w:semiHidden/>
    <w:rsid w:val="009159E9"/>
    <w:rPr>
      <w:rFonts w:ascii="Times New Roman" w:eastAsiaTheme="majorEastAsia" w:hAnsi="Times New Roman" w:cstheme="majorBidi"/>
      <w:b/>
      <w:iCs/>
      <w:color w:val="000000" w:themeColor="text1"/>
      <w:sz w:val="24"/>
    </w:rPr>
  </w:style>
  <w:style w:type="character" w:customStyle="1" w:styleId="Ttulo5Char">
    <w:name w:val="Título 5 Char"/>
    <w:basedOn w:val="Fontepargpadro"/>
    <w:link w:val="Ttulo5"/>
    <w:uiPriority w:val="9"/>
    <w:semiHidden/>
    <w:rsid w:val="00F93DBB"/>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9159E9"/>
    <w:rPr>
      <w:rFonts w:asciiTheme="majorHAnsi" w:eastAsiaTheme="majorEastAsia" w:hAnsiTheme="majorHAnsi" w:cstheme="majorBidi"/>
      <w:color w:val="1F3763" w:themeColor="accent1" w:themeShade="7F"/>
      <w:sz w:val="24"/>
    </w:rPr>
  </w:style>
  <w:style w:type="character" w:customStyle="1" w:styleId="Ttulo7Char">
    <w:name w:val="Título 7 Char"/>
    <w:basedOn w:val="Fontepargpadro"/>
    <w:link w:val="Ttulo7"/>
    <w:uiPriority w:val="9"/>
    <w:semiHidden/>
    <w:rsid w:val="009159E9"/>
    <w:rPr>
      <w:rFonts w:asciiTheme="majorHAnsi" w:eastAsiaTheme="majorEastAsia" w:hAnsiTheme="majorHAnsi" w:cstheme="majorBidi"/>
      <w:i/>
      <w:iCs/>
      <w:color w:val="1F3763" w:themeColor="accent1" w:themeShade="7F"/>
      <w:sz w:val="24"/>
    </w:rPr>
  </w:style>
  <w:style w:type="character" w:customStyle="1" w:styleId="Ttulo8Char">
    <w:name w:val="Título 8 Char"/>
    <w:basedOn w:val="Fontepargpadro"/>
    <w:link w:val="Ttulo8"/>
    <w:uiPriority w:val="9"/>
    <w:semiHidden/>
    <w:rsid w:val="009159E9"/>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9159E9"/>
    <w:rPr>
      <w:rFonts w:asciiTheme="majorHAnsi" w:eastAsiaTheme="majorEastAsia" w:hAnsiTheme="majorHAnsi" w:cstheme="majorBidi"/>
      <w:i/>
      <w:iCs/>
      <w:color w:val="272727" w:themeColor="text1" w:themeTint="D8"/>
      <w:sz w:val="21"/>
      <w:szCs w:val="21"/>
    </w:rPr>
  </w:style>
  <w:style w:type="paragraph" w:styleId="Ttulo">
    <w:name w:val="Title"/>
    <w:basedOn w:val="Normal"/>
    <w:next w:val="Normal"/>
    <w:link w:val="TtuloChar"/>
    <w:uiPriority w:val="10"/>
    <w:rsid w:val="00F93D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93D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rsid w:val="00F93DBB"/>
    <w:pPr>
      <w:numPr>
        <w:ilvl w:val="1"/>
      </w:numPr>
      <w:ind w:firstLine="709"/>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93DB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159E9"/>
    <w:pPr>
      <w:spacing w:after="240" w:line="240" w:lineRule="auto"/>
      <w:ind w:left="2268" w:firstLine="0"/>
    </w:pPr>
    <w:rPr>
      <w:iCs/>
      <w:sz w:val="22"/>
    </w:rPr>
  </w:style>
  <w:style w:type="character" w:customStyle="1" w:styleId="CitaoChar">
    <w:name w:val="Citação Char"/>
    <w:basedOn w:val="Fontepargpadro"/>
    <w:link w:val="Citao"/>
    <w:uiPriority w:val="29"/>
    <w:rsid w:val="009159E9"/>
    <w:rPr>
      <w:rFonts w:ascii="Times New Roman" w:hAnsi="Times New Roman"/>
      <w:iCs/>
      <w:color w:val="000000" w:themeColor="text1"/>
    </w:rPr>
  </w:style>
  <w:style w:type="paragraph" w:styleId="PargrafodaLista">
    <w:name w:val="List Paragraph"/>
    <w:basedOn w:val="Normal"/>
    <w:uiPriority w:val="34"/>
    <w:rsid w:val="00F93DBB"/>
    <w:pPr>
      <w:ind w:left="720"/>
      <w:contextualSpacing/>
    </w:pPr>
  </w:style>
  <w:style w:type="character" w:styleId="nfaseIntensa">
    <w:name w:val="Intense Emphasis"/>
    <w:basedOn w:val="Fontepargpadro"/>
    <w:uiPriority w:val="21"/>
    <w:rsid w:val="00F93DBB"/>
    <w:rPr>
      <w:i/>
      <w:iCs/>
      <w:color w:val="2F5496" w:themeColor="accent1" w:themeShade="BF"/>
    </w:rPr>
  </w:style>
  <w:style w:type="paragraph" w:styleId="CitaoIntensa">
    <w:name w:val="Intense Quote"/>
    <w:basedOn w:val="Normal"/>
    <w:next w:val="Normal"/>
    <w:link w:val="CitaoIntensaChar"/>
    <w:uiPriority w:val="30"/>
    <w:rsid w:val="00F93D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93DBB"/>
    <w:rPr>
      <w:i/>
      <w:iCs/>
      <w:color w:val="2F5496" w:themeColor="accent1" w:themeShade="BF"/>
    </w:rPr>
  </w:style>
  <w:style w:type="character" w:styleId="RefernciaIntensa">
    <w:name w:val="Intense Reference"/>
    <w:basedOn w:val="Fontepargpadro"/>
    <w:uiPriority w:val="32"/>
    <w:rsid w:val="00F93DBB"/>
    <w:rPr>
      <w:b/>
      <w:bCs/>
      <w:smallCaps/>
      <w:color w:val="2F5496" w:themeColor="accent1" w:themeShade="BF"/>
      <w:spacing w:val="5"/>
    </w:rPr>
  </w:style>
  <w:style w:type="paragraph" w:styleId="Textodenotaderodap">
    <w:name w:val="footnote text"/>
    <w:basedOn w:val="Normal"/>
    <w:link w:val="TextodenotaderodapChar"/>
    <w:uiPriority w:val="99"/>
    <w:unhideWhenUsed/>
    <w:qFormat/>
    <w:rsid w:val="009159E9"/>
    <w:pPr>
      <w:spacing w:line="240" w:lineRule="auto"/>
      <w:ind w:firstLine="0"/>
    </w:pPr>
    <w:rPr>
      <w:sz w:val="20"/>
      <w:szCs w:val="20"/>
      <w:lang w:eastAsia="zh-CN"/>
    </w:rPr>
  </w:style>
  <w:style w:type="character" w:customStyle="1" w:styleId="TextodenotaderodapChar">
    <w:name w:val="Texto de nota de rodapé Char"/>
    <w:basedOn w:val="Fontepargpadro"/>
    <w:link w:val="Textodenotaderodap"/>
    <w:uiPriority w:val="99"/>
    <w:rsid w:val="009159E9"/>
    <w:rPr>
      <w:rFonts w:ascii="Times New Roman" w:hAnsi="Times New Roman"/>
      <w:color w:val="000000" w:themeColor="text1"/>
      <w:sz w:val="20"/>
      <w:szCs w:val="20"/>
      <w:lang w:eastAsia="zh-CN"/>
    </w:rPr>
  </w:style>
  <w:style w:type="character" w:styleId="Refdenotaderodap">
    <w:name w:val="footnote reference"/>
    <w:basedOn w:val="Fontepargpadro"/>
    <w:uiPriority w:val="99"/>
    <w:semiHidden/>
    <w:unhideWhenUsed/>
    <w:rsid w:val="00F93DBB"/>
    <w:rPr>
      <w:vertAlign w:val="superscript"/>
    </w:rPr>
  </w:style>
  <w:style w:type="paragraph" w:styleId="SemEspaamento">
    <w:name w:val="No Spacing"/>
    <w:uiPriority w:val="1"/>
    <w:rsid w:val="00F93DBB"/>
    <w:pPr>
      <w:spacing w:after="0" w:line="240" w:lineRule="auto"/>
    </w:pPr>
  </w:style>
  <w:style w:type="character" w:styleId="Refdecomentrio">
    <w:name w:val="annotation reference"/>
    <w:basedOn w:val="Fontepargpadro"/>
    <w:uiPriority w:val="99"/>
    <w:semiHidden/>
    <w:unhideWhenUsed/>
    <w:rsid w:val="00F93DBB"/>
    <w:rPr>
      <w:sz w:val="16"/>
      <w:szCs w:val="16"/>
    </w:rPr>
  </w:style>
  <w:style w:type="paragraph" w:styleId="Textodecomentrio">
    <w:name w:val="annotation text"/>
    <w:basedOn w:val="Normal"/>
    <w:link w:val="TextodecomentrioChar"/>
    <w:uiPriority w:val="99"/>
    <w:semiHidden/>
    <w:unhideWhenUsed/>
    <w:rsid w:val="00F93DB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93DBB"/>
    <w:rPr>
      <w:sz w:val="20"/>
      <w:szCs w:val="20"/>
    </w:rPr>
  </w:style>
  <w:style w:type="paragraph" w:styleId="Textodenotadefim">
    <w:name w:val="endnote text"/>
    <w:basedOn w:val="Normal"/>
    <w:link w:val="TextodenotadefimChar"/>
    <w:uiPriority w:val="99"/>
    <w:semiHidden/>
    <w:unhideWhenUsed/>
    <w:rsid w:val="00065F72"/>
    <w:pPr>
      <w:spacing w:line="240" w:lineRule="auto"/>
    </w:pPr>
    <w:rPr>
      <w:sz w:val="20"/>
      <w:szCs w:val="20"/>
    </w:rPr>
  </w:style>
  <w:style w:type="character" w:customStyle="1" w:styleId="TextodenotadefimChar">
    <w:name w:val="Texto de nota de fim Char"/>
    <w:basedOn w:val="Fontepargpadro"/>
    <w:link w:val="Textodenotadefim"/>
    <w:uiPriority w:val="99"/>
    <w:semiHidden/>
    <w:rsid w:val="00065F72"/>
    <w:rPr>
      <w:sz w:val="20"/>
      <w:szCs w:val="20"/>
      <w:lang w:val="en-US"/>
    </w:rPr>
  </w:style>
  <w:style w:type="character" w:styleId="Refdenotadefim">
    <w:name w:val="endnote reference"/>
    <w:basedOn w:val="Fontepargpadro"/>
    <w:uiPriority w:val="99"/>
    <w:semiHidden/>
    <w:unhideWhenUsed/>
    <w:rsid w:val="00065F72"/>
    <w:rPr>
      <w:vertAlign w:val="superscript"/>
    </w:rPr>
  </w:style>
  <w:style w:type="character" w:styleId="nfase">
    <w:name w:val="Emphasis"/>
    <w:basedOn w:val="Fontepargpadro"/>
    <w:uiPriority w:val="20"/>
    <w:rsid w:val="003A40F5"/>
    <w:rPr>
      <w:i/>
      <w:iCs/>
    </w:rPr>
  </w:style>
  <w:style w:type="paragraph" w:customStyle="1" w:styleId="REFER">
    <w:name w:val="REFER"/>
    <w:basedOn w:val="Normal"/>
    <w:next w:val="Normal"/>
    <w:link w:val="REFERChar"/>
    <w:uiPriority w:val="30"/>
    <w:qFormat/>
    <w:rsid w:val="009159E9"/>
    <w:pPr>
      <w:spacing w:before="240" w:after="240"/>
      <w:ind w:firstLine="0"/>
      <w:outlineLvl w:val="0"/>
    </w:pPr>
    <w:rPr>
      <w:b/>
      <w:caps/>
    </w:rPr>
  </w:style>
  <w:style w:type="character" w:customStyle="1" w:styleId="REFERChar">
    <w:name w:val="REFER Char"/>
    <w:basedOn w:val="Fontepargpadro"/>
    <w:link w:val="REFER"/>
    <w:uiPriority w:val="30"/>
    <w:rsid w:val="009159E9"/>
    <w:rPr>
      <w:rFonts w:ascii="Times New Roman" w:hAnsi="Times New Roman"/>
      <w:b/>
      <w:caps/>
      <w:color w:val="000000" w:themeColor="text1"/>
      <w:sz w:val="24"/>
    </w:rPr>
  </w:style>
  <w:style w:type="paragraph" w:customStyle="1" w:styleId="FIGURA">
    <w:name w:val="FIGURA"/>
    <w:basedOn w:val="Normal"/>
    <w:next w:val="Normal"/>
    <w:link w:val="FIGURAChar"/>
    <w:qFormat/>
    <w:rsid w:val="009159E9"/>
    <w:pPr>
      <w:ind w:firstLine="0"/>
      <w:jc w:val="center"/>
    </w:pPr>
    <w:rPr>
      <w:noProof/>
    </w:rPr>
  </w:style>
  <w:style w:type="character" w:customStyle="1" w:styleId="FIGURAChar">
    <w:name w:val="FIGURA Char"/>
    <w:basedOn w:val="Fontepargpadro"/>
    <w:link w:val="FIGURA"/>
    <w:rsid w:val="009159E9"/>
    <w:rPr>
      <w:rFonts w:ascii="Times New Roman" w:hAnsi="Times New Roman"/>
      <w:noProof/>
      <w:color w:val="000000" w:themeColor="text1"/>
      <w:sz w:val="24"/>
    </w:rPr>
  </w:style>
  <w:style w:type="paragraph" w:customStyle="1" w:styleId="TITULOARTIGO">
    <w:name w:val="TITULO ARTIGO"/>
    <w:basedOn w:val="Ttulo"/>
    <w:link w:val="TITULOARTIGOChar"/>
    <w:qFormat/>
    <w:rsid w:val="009159E9"/>
    <w:pPr>
      <w:spacing w:after="120"/>
      <w:ind w:firstLine="0"/>
      <w:jc w:val="center"/>
    </w:pPr>
    <w:rPr>
      <w:rFonts w:ascii="Times New Roman" w:hAnsi="Times New Roman"/>
      <w:b/>
      <w:caps/>
      <w:sz w:val="32"/>
      <w:szCs w:val="24"/>
    </w:rPr>
  </w:style>
  <w:style w:type="character" w:customStyle="1" w:styleId="TITULOARTIGOChar">
    <w:name w:val="TITULO ARTIGO Char"/>
    <w:basedOn w:val="TtuloChar"/>
    <w:link w:val="TITULOARTIGO"/>
    <w:rsid w:val="009159E9"/>
    <w:rPr>
      <w:rFonts w:ascii="Times New Roman" w:eastAsiaTheme="majorEastAsia" w:hAnsi="Times New Roman" w:cstheme="majorBidi"/>
      <w:b/>
      <w:caps/>
      <w:color w:val="000000" w:themeColor="text1"/>
      <w:spacing w:val="-10"/>
      <w:kern w:val="28"/>
      <w:sz w:val="32"/>
      <w:szCs w:val="24"/>
    </w:rPr>
  </w:style>
  <w:style w:type="paragraph" w:customStyle="1" w:styleId="Subtitulo">
    <w:name w:val="Subtitulo"/>
    <w:basedOn w:val="Ttulo1"/>
    <w:link w:val="SubtituloChar"/>
    <w:qFormat/>
    <w:rsid w:val="009159E9"/>
    <w:pPr>
      <w:spacing w:line="480" w:lineRule="auto"/>
    </w:pPr>
    <w:rPr>
      <w:caps w:val="0"/>
    </w:rPr>
  </w:style>
  <w:style w:type="character" w:customStyle="1" w:styleId="SubtituloChar">
    <w:name w:val="Subtitulo Char"/>
    <w:basedOn w:val="Ttulo1Char"/>
    <w:link w:val="Subtitulo"/>
    <w:rsid w:val="009159E9"/>
    <w:rPr>
      <w:rFonts w:ascii="Times New Roman" w:hAnsi="Times New Roman"/>
      <w:b/>
      <w:caps w:val="0"/>
      <w:color w:val="000000" w:themeColor="text1"/>
      <w:sz w:val="24"/>
    </w:rPr>
  </w:style>
  <w:style w:type="paragraph" w:styleId="Legenda">
    <w:name w:val="caption"/>
    <w:basedOn w:val="Normal"/>
    <w:next w:val="Normal"/>
    <w:uiPriority w:val="35"/>
    <w:semiHidden/>
    <w:unhideWhenUsed/>
    <w:qFormat/>
    <w:rsid w:val="009159E9"/>
    <w:pPr>
      <w:spacing w:after="200" w:line="240" w:lineRule="auto"/>
      <w:ind w:firstLine="0"/>
      <w:jc w:val="left"/>
    </w:pPr>
    <w:rPr>
      <w:iCs/>
      <w:sz w:val="20"/>
      <w:szCs w:val="18"/>
    </w:rPr>
  </w:style>
  <w:style w:type="paragraph" w:styleId="CabealhodoSumrio">
    <w:name w:val="TOC Heading"/>
    <w:basedOn w:val="Ttulo1"/>
    <w:next w:val="Normal"/>
    <w:uiPriority w:val="39"/>
    <w:semiHidden/>
    <w:unhideWhenUsed/>
    <w:qFormat/>
    <w:rsid w:val="009159E9"/>
    <w:pPr>
      <w:spacing w:line="259" w:lineRule="auto"/>
      <w:jc w:val="left"/>
      <w:outlineLvl w:val="9"/>
    </w:pPr>
    <w:rPr>
      <w:rFonts w:asciiTheme="majorHAnsi" w:hAnsiTheme="majorHAnsi"/>
      <w:b w:val="0"/>
      <w:caps w:val="0"/>
      <w:color w:val="2F5496" w:themeColor="accent1" w:themeShade="BF"/>
      <w:sz w:val="32"/>
    </w:rPr>
  </w:style>
  <w:style w:type="paragraph" w:styleId="Cabealho">
    <w:name w:val="header"/>
    <w:basedOn w:val="Normal"/>
    <w:link w:val="CabealhoChar"/>
    <w:uiPriority w:val="99"/>
    <w:unhideWhenUsed/>
    <w:rsid w:val="00B41CC5"/>
    <w:pPr>
      <w:tabs>
        <w:tab w:val="center" w:pos="4252"/>
        <w:tab w:val="right" w:pos="8504"/>
      </w:tabs>
      <w:spacing w:line="240" w:lineRule="auto"/>
    </w:pPr>
  </w:style>
  <w:style w:type="character" w:customStyle="1" w:styleId="CabealhoChar">
    <w:name w:val="Cabeçalho Char"/>
    <w:basedOn w:val="Fontepargpadro"/>
    <w:link w:val="Cabealho"/>
    <w:uiPriority w:val="99"/>
    <w:rsid w:val="00B41CC5"/>
    <w:rPr>
      <w:rFonts w:ascii="Times New Roman" w:hAnsi="Times New Roman"/>
      <w:color w:val="000000" w:themeColor="text1"/>
      <w:sz w:val="24"/>
    </w:rPr>
  </w:style>
  <w:style w:type="paragraph" w:styleId="Rodap">
    <w:name w:val="footer"/>
    <w:basedOn w:val="Normal"/>
    <w:link w:val="RodapChar"/>
    <w:uiPriority w:val="99"/>
    <w:unhideWhenUsed/>
    <w:rsid w:val="00B41CC5"/>
    <w:pPr>
      <w:tabs>
        <w:tab w:val="center" w:pos="4252"/>
        <w:tab w:val="right" w:pos="8504"/>
      </w:tabs>
      <w:spacing w:line="240" w:lineRule="auto"/>
    </w:pPr>
  </w:style>
  <w:style w:type="character" w:customStyle="1" w:styleId="RodapChar">
    <w:name w:val="Rodapé Char"/>
    <w:basedOn w:val="Fontepargpadro"/>
    <w:link w:val="Rodap"/>
    <w:uiPriority w:val="99"/>
    <w:rsid w:val="00B41CC5"/>
    <w:rPr>
      <w:rFonts w:ascii="Times New Roman" w:hAnsi="Times New Roman"/>
      <w:color w:val="000000" w:themeColor="text1"/>
      <w:sz w:val="24"/>
    </w:rPr>
  </w:style>
  <w:style w:type="paragraph" w:customStyle="1" w:styleId="CorpoA">
    <w:name w:val="Corpo A"/>
    <w:rsid w:val="00B41CC5"/>
    <w:pPr>
      <w:spacing w:after="0" w:line="360" w:lineRule="auto"/>
      <w:jc w:val="both"/>
    </w:pPr>
    <w:rPr>
      <w:rFonts w:ascii="Times New Roman" w:eastAsia="Arial Unicode MS" w:hAnsi="Times New Roman" w:cs="Arial Unicode MS"/>
      <w:color w:val="000000"/>
      <w:sz w:val="24"/>
      <w:szCs w:val="24"/>
      <w:u w:color="000000"/>
      <w:lang w:val="en-US" w:eastAsia="pt-BR"/>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77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774FD-087E-4C04-9478-C0A3B4575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5857</TotalTime>
  <Pages>18</Pages>
  <Words>6261</Words>
  <Characters>33812</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Romero Freitas</dc:creator>
  <cp:keywords/>
  <dc:description/>
  <cp:lastModifiedBy>IMACULADA KANGUSSU</cp:lastModifiedBy>
  <cp:revision>107</cp:revision>
  <dcterms:created xsi:type="dcterms:W3CDTF">2025-09-18T19:32:00Z</dcterms:created>
  <dcterms:modified xsi:type="dcterms:W3CDTF">2026-11-03T16:05:00Z</dcterms:modified>
</cp:coreProperties>
</file>